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9CE1" w14:textId="644A9C87" w:rsidR="00023FFC" w:rsidRDefault="00023FFC" w:rsidP="00D32A79">
      <w:pPr>
        <w:jc w:val="left"/>
        <w:rPr>
          <w:rFonts w:cs="Arial"/>
          <w:b/>
          <w:bCs/>
          <w:noProof/>
          <w:color w:val="156082" w:themeColor="accent1"/>
          <w:sz w:val="44"/>
          <w:szCs w:val="44"/>
        </w:rPr>
      </w:pPr>
      <w:r w:rsidRPr="00975836">
        <w:rPr>
          <w:rFonts w:cs="Arial"/>
          <w:b/>
          <w:noProof/>
          <w:color w:val="000000" w:themeColor="text1"/>
          <w:sz w:val="72"/>
          <w:szCs w:val="72"/>
        </w:rPr>
        <w:drawing>
          <wp:anchor distT="0" distB="0" distL="114300" distR="114300" simplePos="0" relativeHeight="251659264" behindDoc="1" locked="0" layoutInCell="1" allowOverlap="1" wp14:anchorId="1D63D843" wp14:editId="7BA70263">
            <wp:simplePos x="0" y="0"/>
            <wp:positionH relativeFrom="page">
              <wp:align>right</wp:align>
            </wp:positionH>
            <wp:positionV relativeFrom="page">
              <wp:align>top</wp:align>
            </wp:positionV>
            <wp:extent cx="7554450" cy="1795452"/>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7840D35F" w14:textId="77777777" w:rsidR="00023FFC" w:rsidRDefault="00023FFC" w:rsidP="00D32A79">
      <w:pPr>
        <w:jc w:val="left"/>
        <w:rPr>
          <w:rFonts w:cs="Arial"/>
          <w:b/>
          <w:bCs/>
          <w:noProof/>
          <w:color w:val="156082" w:themeColor="accent1"/>
          <w:sz w:val="44"/>
          <w:szCs w:val="44"/>
        </w:rPr>
      </w:pPr>
    </w:p>
    <w:p w14:paraId="30A20C40" w14:textId="77777777" w:rsidR="00023FFC" w:rsidRDefault="00023FFC" w:rsidP="00D32A79">
      <w:pPr>
        <w:jc w:val="left"/>
        <w:rPr>
          <w:rFonts w:cs="Arial"/>
          <w:b/>
          <w:bCs/>
          <w:noProof/>
          <w:color w:val="156082" w:themeColor="accent1"/>
          <w:sz w:val="44"/>
          <w:szCs w:val="44"/>
        </w:rPr>
      </w:pPr>
    </w:p>
    <w:p w14:paraId="09014BFA" w14:textId="77777777" w:rsidR="00023FFC" w:rsidRDefault="00023FFC" w:rsidP="00D32A79">
      <w:pPr>
        <w:jc w:val="left"/>
        <w:rPr>
          <w:rFonts w:cs="Arial"/>
          <w:b/>
          <w:bCs/>
          <w:noProof/>
          <w:color w:val="156082" w:themeColor="accent1"/>
          <w:sz w:val="44"/>
          <w:szCs w:val="44"/>
        </w:rPr>
      </w:pPr>
    </w:p>
    <w:p w14:paraId="30C249B5" w14:textId="77777777" w:rsidR="002B2F13" w:rsidRDefault="002B2F13" w:rsidP="00D32A79">
      <w:pPr>
        <w:jc w:val="left"/>
        <w:rPr>
          <w:rFonts w:cs="Arial"/>
          <w:b/>
          <w:bCs/>
          <w:noProof/>
          <w:color w:val="156082" w:themeColor="accent1"/>
          <w:sz w:val="44"/>
          <w:szCs w:val="44"/>
        </w:rPr>
      </w:pPr>
    </w:p>
    <w:p w14:paraId="04CAB95C" w14:textId="022FEFDB" w:rsidR="002B2F13" w:rsidRPr="004A19EE" w:rsidRDefault="002B2F13" w:rsidP="002B2F13">
      <w:pPr>
        <w:jc w:val="left"/>
        <w:rPr>
          <w:rFonts w:cs="Arial"/>
          <w:b/>
          <w:bCs/>
          <w:sz w:val="56"/>
          <w:szCs w:val="56"/>
        </w:rPr>
      </w:pPr>
      <w:r>
        <w:rPr>
          <w:rFonts w:cs="Arial"/>
          <w:b/>
          <w:bCs/>
          <w:sz w:val="56"/>
          <w:szCs w:val="56"/>
        </w:rPr>
        <w:t>Training and Competence Scheme</w:t>
      </w:r>
    </w:p>
    <w:p w14:paraId="7035BB09" w14:textId="77777777" w:rsidR="002B2F13" w:rsidRPr="00975836" w:rsidRDefault="002B2F13" w:rsidP="002B2F13">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2B2F13" w:rsidRPr="00975836" w14:paraId="5A7C7F1F" w14:textId="77777777" w:rsidTr="0061625E">
        <w:tc>
          <w:tcPr>
            <w:tcW w:w="8813" w:type="dxa"/>
            <w:tcBorders>
              <w:top w:val="single" w:sz="4" w:space="0" w:color="46DCDC"/>
            </w:tcBorders>
          </w:tcPr>
          <w:p w14:paraId="58554673" w14:textId="77777777" w:rsidR="002B2F13" w:rsidRPr="00975836" w:rsidRDefault="002B2F13" w:rsidP="0061625E">
            <w:pPr>
              <w:ind w:left="-567" w:right="567"/>
              <w:rPr>
                <w:rFonts w:cs="Arial"/>
                <w:b/>
              </w:rPr>
            </w:pPr>
          </w:p>
        </w:tc>
      </w:tr>
      <w:tr w:rsidR="002B2F13" w:rsidRPr="00975836" w14:paraId="1CFC91C9" w14:textId="77777777" w:rsidTr="0061625E">
        <w:tc>
          <w:tcPr>
            <w:tcW w:w="8813" w:type="dxa"/>
          </w:tcPr>
          <w:p w14:paraId="75259DD4" w14:textId="77777777" w:rsidR="002B2F13" w:rsidRPr="00975836" w:rsidRDefault="002B2F13" w:rsidP="0061625E">
            <w:pPr>
              <w:ind w:right="567"/>
              <w:rPr>
                <w:rFonts w:cs="Arial"/>
                <w:b/>
                <w:sz w:val="28"/>
                <w:szCs w:val="28"/>
              </w:rPr>
            </w:pPr>
            <w:r w:rsidRPr="00975836">
              <w:rPr>
                <w:rFonts w:cs="Arial"/>
                <w:b/>
                <w:sz w:val="28"/>
                <w:szCs w:val="28"/>
              </w:rPr>
              <w:t xml:space="preserve">Template Guidance Notes </w:t>
            </w:r>
          </w:p>
          <w:p w14:paraId="3F24B87D" w14:textId="77777777" w:rsidR="002B2F13" w:rsidRPr="005A3434" w:rsidRDefault="002B2F13" w:rsidP="0061625E">
            <w:pPr>
              <w:rPr>
                <w:rFonts w:cstheme="minorHAnsi"/>
                <w:bCs/>
              </w:rPr>
            </w:pPr>
            <w:r w:rsidRPr="005A3434">
              <w:rPr>
                <w:rFonts w:cstheme="minorHAnsi"/>
                <w:bCs/>
              </w:rPr>
              <w:t xml:space="preserve">Guidance notes and instructions </w:t>
            </w:r>
            <w:proofErr w:type="gramStart"/>
            <w:r w:rsidRPr="005A3434">
              <w:rPr>
                <w:rFonts w:cstheme="minorHAnsi"/>
                <w:bCs/>
              </w:rPr>
              <w:t>are highlighted</w:t>
            </w:r>
            <w:proofErr w:type="gramEnd"/>
            <w:r w:rsidRPr="005A3434">
              <w:rPr>
                <w:rFonts w:cstheme="minorHAnsi"/>
                <w:bCs/>
              </w:rPr>
              <w:t xml:space="preserve"> in </w:t>
            </w:r>
            <w:r w:rsidRPr="005A3434">
              <w:rPr>
                <w:rFonts w:cstheme="minorHAnsi"/>
                <w:bCs/>
                <w:highlight w:val="yellow"/>
              </w:rPr>
              <w:t>yellow</w:t>
            </w:r>
            <w:r w:rsidRPr="005A3434">
              <w:rPr>
                <w:rFonts w:cstheme="minorHAnsi"/>
                <w:bCs/>
              </w:rPr>
              <w:t>.</w:t>
            </w:r>
          </w:p>
          <w:p w14:paraId="7EC67197" w14:textId="77777777" w:rsidR="002B2F13" w:rsidRDefault="002B2F13" w:rsidP="0061625E">
            <w:pPr>
              <w:rPr>
                <w:rFonts w:cstheme="minorHAnsi"/>
                <w:bCs/>
                <w:color w:val="FF0000"/>
              </w:rPr>
            </w:pPr>
            <w:r w:rsidRPr="005A3434">
              <w:rPr>
                <w:rFonts w:cstheme="minorHAnsi"/>
                <w:bCs/>
                <w:color w:val="FF0000"/>
              </w:rPr>
              <w:t xml:space="preserve">Red text indicates personalisation is </w:t>
            </w:r>
            <w:proofErr w:type="gramStart"/>
            <w:r w:rsidRPr="005A3434">
              <w:rPr>
                <w:rFonts w:cstheme="minorHAnsi"/>
                <w:bCs/>
                <w:color w:val="FF0000"/>
              </w:rPr>
              <w:t>probably required</w:t>
            </w:r>
            <w:proofErr w:type="gramEnd"/>
            <w:r w:rsidRPr="005A3434">
              <w:rPr>
                <w:rFonts w:cstheme="minorHAnsi"/>
                <w:bCs/>
                <w:color w:val="FF0000"/>
              </w:rPr>
              <w:t>.</w:t>
            </w:r>
          </w:p>
          <w:p w14:paraId="1E00BA6C" w14:textId="77777777" w:rsidR="002B2F13" w:rsidRPr="00975836" w:rsidRDefault="002B2F13" w:rsidP="0061625E">
            <w:pPr>
              <w:ind w:right="567"/>
              <w:rPr>
                <w:rFonts w:cs="Arial"/>
                <w:b/>
                <w:sz w:val="28"/>
                <w:szCs w:val="28"/>
              </w:rPr>
            </w:pPr>
          </w:p>
        </w:tc>
      </w:tr>
    </w:tbl>
    <w:p w14:paraId="168844F9" w14:textId="32D111C9" w:rsidR="002B2F13" w:rsidRDefault="002B2F13" w:rsidP="00D32A79">
      <w:pPr>
        <w:jc w:val="left"/>
        <w:rPr>
          <w:rFonts w:cs="Arial"/>
          <w:b/>
          <w:bCs/>
          <w:noProof/>
          <w:color w:val="156082" w:themeColor="accent1"/>
          <w:sz w:val="44"/>
          <w:szCs w:val="44"/>
        </w:rPr>
      </w:pPr>
    </w:p>
    <w:p w14:paraId="19A419C3" w14:textId="77777777" w:rsidR="002B2F13" w:rsidRDefault="002B2F13">
      <w:pPr>
        <w:spacing w:after="160" w:line="259" w:lineRule="auto"/>
        <w:jc w:val="left"/>
        <w:rPr>
          <w:rFonts w:cs="Arial"/>
          <w:b/>
          <w:bCs/>
          <w:noProof/>
          <w:color w:val="156082" w:themeColor="accent1"/>
          <w:sz w:val="44"/>
          <w:szCs w:val="44"/>
        </w:rPr>
      </w:pPr>
      <w:r>
        <w:rPr>
          <w:rFonts w:cs="Arial"/>
          <w:b/>
          <w:bCs/>
          <w:noProof/>
          <w:color w:val="156082" w:themeColor="accent1"/>
          <w:sz w:val="44"/>
          <w:szCs w:val="44"/>
        </w:rPr>
        <w:br w:type="page"/>
      </w:r>
    </w:p>
    <w:p w14:paraId="2A484D7A" w14:textId="77777777" w:rsidR="002B2F13" w:rsidRDefault="002B2F13" w:rsidP="00D32A79">
      <w:pPr>
        <w:jc w:val="left"/>
        <w:rPr>
          <w:rFonts w:cs="Arial"/>
          <w:b/>
          <w:bCs/>
          <w:noProof/>
          <w:color w:val="156082" w:themeColor="accent1"/>
          <w:sz w:val="44"/>
          <w:szCs w:val="44"/>
        </w:rPr>
      </w:pPr>
    </w:p>
    <w:p w14:paraId="69D67B71" w14:textId="77777777" w:rsidR="00023FFC" w:rsidRDefault="00023FFC" w:rsidP="00D32A79">
      <w:pPr>
        <w:jc w:val="left"/>
        <w:rPr>
          <w:rFonts w:cs="Arial"/>
          <w:b/>
          <w:bCs/>
          <w:noProof/>
          <w:color w:val="156082" w:themeColor="accent1"/>
          <w:sz w:val="44"/>
          <w:szCs w:val="44"/>
        </w:rPr>
      </w:pPr>
    </w:p>
    <w:p w14:paraId="78A90DE1" w14:textId="77777777" w:rsidR="00936C0B" w:rsidRDefault="00936C0B" w:rsidP="00936C0B">
      <w:pPr>
        <w:rPr>
          <w:rFonts w:cs="Arial"/>
          <w:b/>
          <w:bCs/>
          <w:color w:val="00FFFF"/>
          <w:sz w:val="44"/>
          <w:szCs w:val="44"/>
        </w:rPr>
      </w:pPr>
    </w:p>
    <w:p w14:paraId="26269C10" w14:textId="77777777" w:rsidR="00936C0B" w:rsidRDefault="00936C0B" w:rsidP="00936C0B">
      <w:pPr>
        <w:rPr>
          <w:rFonts w:cs="Arial"/>
          <w:b/>
          <w:bCs/>
          <w:color w:val="00FFFF"/>
          <w:sz w:val="44"/>
          <w:szCs w:val="44"/>
        </w:rPr>
      </w:pPr>
    </w:p>
    <w:p w14:paraId="3753C0A4" w14:textId="0886603C" w:rsidR="00936C0B" w:rsidRPr="00936C0B" w:rsidRDefault="00936C0B" w:rsidP="00936C0B">
      <w:pPr>
        <w:rPr>
          <w:rFonts w:cs="Arial"/>
          <w:b/>
          <w:bCs/>
          <w:color w:val="00FFFF"/>
          <w:sz w:val="44"/>
          <w:szCs w:val="44"/>
        </w:rPr>
      </w:pPr>
      <w:r w:rsidRPr="00936C0B">
        <w:rPr>
          <w:rFonts w:cs="Arial"/>
          <w:b/>
          <w:bCs/>
          <w:color w:val="00FFFF"/>
          <w:sz w:val="44"/>
          <w:szCs w:val="44"/>
        </w:rPr>
        <w:t>Firm Name</w:t>
      </w:r>
    </w:p>
    <w:p w14:paraId="62892ECE" w14:textId="5229C890" w:rsidR="00D32A79" w:rsidRPr="0041397F" w:rsidRDefault="00D32A79" w:rsidP="00936C0B">
      <w:pPr>
        <w:rPr>
          <w:rFonts w:cs="Open Sans"/>
          <w:color w:val="2F5496"/>
          <w:sz w:val="56"/>
          <w:szCs w:val="56"/>
        </w:rPr>
      </w:pPr>
    </w:p>
    <w:p w14:paraId="70CC9472" w14:textId="62F31FFE" w:rsidR="00D32A79" w:rsidRPr="000F487F" w:rsidRDefault="00D32A79" w:rsidP="005F6E66">
      <w:pPr>
        <w:jc w:val="left"/>
        <w:rPr>
          <w:rFonts w:cs="Open Sans"/>
          <w:b/>
          <w:bCs/>
          <w:sz w:val="56"/>
          <w:szCs w:val="56"/>
        </w:rPr>
      </w:pPr>
      <w:r w:rsidRPr="000F487F">
        <w:rPr>
          <w:rFonts w:cs="Open Sans"/>
          <w:b/>
          <w:bCs/>
          <w:sz w:val="56"/>
          <w:szCs w:val="56"/>
        </w:rPr>
        <w:t xml:space="preserve">Training </w:t>
      </w:r>
      <w:r w:rsidR="005F6E66">
        <w:rPr>
          <w:rFonts w:cs="Open Sans"/>
          <w:b/>
          <w:bCs/>
          <w:sz w:val="56"/>
          <w:szCs w:val="56"/>
        </w:rPr>
        <w:t>and</w:t>
      </w:r>
      <w:r w:rsidRPr="000F487F">
        <w:rPr>
          <w:rFonts w:cs="Open Sans"/>
          <w:b/>
          <w:bCs/>
          <w:sz w:val="56"/>
          <w:szCs w:val="56"/>
        </w:rPr>
        <w:t xml:space="preserve"> Competence Scheme</w:t>
      </w:r>
    </w:p>
    <w:p w14:paraId="7367C096" w14:textId="77777777" w:rsidR="00D32A79" w:rsidRPr="000208EB" w:rsidRDefault="00D32A79" w:rsidP="00D32A79">
      <w:pPr>
        <w:jc w:val="center"/>
        <w:rPr>
          <w:rFonts w:cs="Open Sans"/>
          <w:sz w:val="56"/>
          <w:szCs w:val="56"/>
        </w:rPr>
      </w:pPr>
    </w:p>
    <w:p w14:paraId="6E543F56" w14:textId="77777777" w:rsidR="00D32A79" w:rsidRPr="000208EB" w:rsidRDefault="00D32A79" w:rsidP="00D32A79">
      <w:pPr>
        <w:jc w:val="center"/>
        <w:rPr>
          <w:rFonts w:cs="Open Sans"/>
          <w:sz w:val="56"/>
          <w:szCs w:val="56"/>
        </w:rPr>
      </w:pPr>
    </w:p>
    <w:p w14:paraId="310EC865" w14:textId="77777777" w:rsidR="00D32A79" w:rsidRPr="000208EB" w:rsidRDefault="00D32A79" w:rsidP="00D32A79">
      <w:pPr>
        <w:jc w:val="center"/>
        <w:rPr>
          <w:rFonts w:cs="Open Sans"/>
          <w:sz w:val="56"/>
          <w:szCs w:val="56"/>
        </w:rPr>
      </w:pPr>
    </w:p>
    <w:p w14:paraId="1F2A91CD" w14:textId="77777777" w:rsidR="00D32A79" w:rsidRDefault="00D32A79" w:rsidP="00D32A79">
      <w:pPr>
        <w:spacing w:after="160" w:line="259" w:lineRule="auto"/>
        <w:jc w:val="left"/>
        <w:rPr>
          <w:rFonts w:cs="Open Sans"/>
        </w:rPr>
      </w:pPr>
      <w:r>
        <w:rPr>
          <w:rFonts w:cs="Open Sans"/>
        </w:rPr>
        <w:br w:type="page"/>
      </w:r>
    </w:p>
    <w:p w14:paraId="3F282769" w14:textId="77777777" w:rsidR="00D32A79" w:rsidRPr="00C97E11" w:rsidRDefault="00D32A79" w:rsidP="00D32A79">
      <w:pPr>
        <w:rPr>
          <w:rFonts w:cs="Open Sans"/>
        </w:rPr>
      </w:pPr>
    </w:p>
    <w:sdt>
      <w:sdtPr>
        <w:id w:val="1038323377"/>
        <w:docPartObj>
          <w:docPartGallery w:val="Table of Contents"/>
          <w:docPartUnique/>
        </w:docPartObj>
      </w:sdtPr>
      <w:sdtEndPr>
        <w:rPr>
          <w:b/>
          <w:bCs/>
          <w:noProof/>
        </w:rPr>
      </w:sdtEndPr>
      <w:sdtContent>
        <w:p w14:paraId="027CBAFE" w14:textId="77777777" w:rsidR="00D32A79" w:rsidRPr="000F487F" w:rsidRDefault="00D32A79" w:rsidP="00D32A79">
          <w:pPr>
            <w:rPr>
              <w:b/>
              <w:bCs/>
              <w:sz w:val="32"/>
              <w:szCs w:val="32"/>
            </w:rPr>
          </w:pPr>
          <w:r w:rsidRPr="000F487F">
            <w:rPr>
              <w:b/>
              <w:bCs/>
              <w:sz w:val="32"/>
              <w:szCs w:val="32"/>
            </w:rPr>
            <w:t>Contents</w:t>
          </w:r>
        </w:p>
        <w:p w14:paraId="14DD25C2" w14:textId="2018ED88" w:rsidR="008D5DF7" w:rsidRDefault="00D32A79">
          <w:pPr>
            <w:pStyle w:val="TOC1"/>
            <w:rPr>
              <w:rFonts w:asciiTheme="minorHAnsi" w:eastAsiaTheme="minorEastAsia" w:hAnsiTheme="minorHAnsi" w:cstheme="minorBidi"/>
              <w:kern w:val="2"/>
              <w:sz w:val="24"/>
              <w:szCs w:val="24"/>
              <w14:ligatures w14:val="standardContextual"/>
            </w:rPr>
          </w:pPr>
          <w:r>
            <w:rPr>
              <w:noProof w:val="0"/>
            </w:rPr>
            <w:fldChar w:fldCharType="begin"/>
          </w:r>
          <w:r>
            <w:instrText xml:space="preserve"> TOC \o "1-3" \h \z \u </w:instrText>
          </w:r>
          <w:r>
            <w:rPr>
              <w:noProof w:val="0"/>
            </w:rPr>
            <w:fldChar w:fldCharType="separate"/>
          </w:r>
          <w:hyperlink w:anchor="_Toc199838617" w:history="1">
            <w:r w:rsidR="008D5DF7" w:rsidRPr="00252FC3">
              <w:rPr>
                <w:rStyle w:val="Hyperlink"/>
              </w:rPr>
              <w:t>Introduction</w:t>
            </w:r>
            <w:r w:rsidR="008D5DF7">
              <w:rPr>
                <w:webHidden/>
              </w:rPr>
              <w:tab/>
            </w:r>
            <w:r w:rsidR="008D5DF7">
              <w:rPr>
                <w:webHidden/>
              </w:rPr>
              <w:fldChar w:fldCharType="begin"/>
            </w:r>
            <w:r w:rsidR="008D5DF7">
              <w:rPr>
                <w:webHidden/>
              </w:rPr>
              <w:instrText xml:space="preserve"> PAGEREF _Toc199838617 \h </w:instrText>
            </w:r>
            <w:r w:rsidR="008D5DF7">
              <w:rPr>
                <w:webHidden/>
              </w:rPr>
            </w:r>
            <w:r w:rsidR="008D5DF7">
              <w:rPr>
                <w:webHidden/>
              </w:rPr>
              <w:fldChar w:fldCharType="separate"/>
            </w:r>
            <w:r w:rsidR="008D5DF7">
              <w:rPr>
                <w:webHidden/>
              </w:rPr>
              <w:t>4</w:t>
            </w:r>
            <w:r w:rsidR="008D5DF7">
              <w:rPr>
                <w:webHidden/>
              </w:rPr>
              <w:fldChar w:fldCharType="end"/>
            </w:r>
          </w:hyperlink>
        </w:p>
        <w:p w14:paraId="02FE4FFB" w14:textId="0C70B745" w:rsidR="008D5DF7" w:rsidRDefault="008D5DF7">
          <w:pPr>
            <w:pStyle w:val="TOC1"/>
            <w:rPr>
              <w:rFonts w:asciiTheme="minorHAnsi" w:eastAsiaTheme="minorEastAsia" w:hAnsiTheme="minorHAnsi" w:cstheme="minorBidi"/>
              <w:kern w:val="2"/>
              <w:sz w:val="24"/>
              <w:szCs w:val="24"/>
              <w14:ligatures w14:val="standardContextual"/>
            </w:rPr>
          </w:pPr>
          <w:hyperlink w:anchor="_Toc199838618" w:history="1">
            <w:r w:rsidRPr="00252FC3">
              <w:rPr>
                <w:rStyle w:val="Hyperlink"/>
              </w:rPr>
              <w:t>Purpose</w:t>
            </w:r>
            <w:r>
              <w:rPr>
                <w:webHidden/>
              </w:rPr>
              <w:tab/>
            </w:r>
            <w:r>
              <w:rPr>
                <w:webHidden/>
              </w:rPr>
              <w:fldChar w:fldCharType="begin"/>
            </w:r>
            <w:r>
              <w:rPr>
                <w:webHidden/>
              </w:rPr>
              <w:instrText xml:space="preserve"> PAGEREF _Toc199838618 \h </w:instrText>
            </w:r>
            <w:r>
              <w:rPr>
                <w:webHidden/>
              </w:rPr>
            </w:r>
            <w:r>
              <w:rPr>
                <w:webHidden/>
              </w:rPr>
              <w:fldChar w:fldCharType="separate"/>
            </w:r>
            <w:r>
              <w:rPr>
                <w:webHidden/>
              </w:rPr>
              <w:t>4</w:t>
            </w:r>
            <w:r>
              <w:rPr>
                <w:webHidden/>
              </w:rPr>
              <w:fldChar w:fldCharType="end"/>
            </w:r>
          </w:hyperlink>
        </w:p>
        <w:p w14:paraId="714F151D" w14:textId="1044AB73" w:rsidR="008D5DF7" w:rsidRDefault="008D5DF7">
          <w:pPr>
            <w:pStyle w:val="TOC1"/>
            <w:rPr>
              <w:rFonts w:asciiTheme="minorHAnsi" w:eastAsiaTheme="minorEastAsia" w:hAnsiTheme="minorHAnsi" w:cstheme="minorBidi"/>
              <w:kern w:val="2"/>
              <w:sz w:val="24"/>
              <w:szCs w:val="24"/>
              <w14:ligatures w14:val="standardContextual"/>
            </w:rPr>
          </w:pPr>
          <w:hyperlink w:anchor="_Toc199838619" w:history="1">
            <w:r w:rsidRPr="00252FC3">
              <w:rPr>
                <w:rStyle w:val="Hyperlink"/>
              </w:rPr>
              <w:t>Scope</w:t>
            </w:r>
            <w:r>
              <w:rPr>
                <w:rStyle w:val="Hyperlink"/>
              </w:rPr>
              <w:t xml:space="preserve"> </w:t>
            </w:r>
            <w:r>
              <w:rPr>
                <w:webHidden/>
              </w:rPr>
              <w:tab/>
            </w:r>
            <w:r>
              <w:rPr>
                <w:webHidden/>
              </w:rPr>
              <w:fldChar w:fldCharType="begin"/>
            </w:r>
            <w:r>
              <w:rPr>
                <w:webHidden/>
              </w:rPr>
              <w:instrText xml:space="preserve"> PAGEREF _Toc199838619 \h </w:instrText>
            </w:r>
            <w:r>
              <w:rPr>
                <w:webHidden/>
              </w:rPr>
            </w:r>
            <w:r>
              <w:rPr>
                <w:webHidden/>
              </w:rPr>
              <w:fldChar w:fldCharType="separate"/>
            </w:r>
            <w:r>
              <w:rPr>
                <w:webHidden/>
              </w:rPr>
              <w:t>5</w:t>
            </w:r>
            <w:r>
              <w:rPr>
                <w:webHidden/>
              </w:rPr>
              <w:fldChar w:fldCharType="end"/>
            </w:r>
          </w:hyperlink>
        </w:p>
        <w:p w14:paraId="01E9FDF1" w14:textId="1FF865A0" w:rsidR="008D5DF7" w:rsidRDefault="008D5DF7">
          <w:pPr>
            <w:pStyle w:val="TOC1"/>
            <w:rPr>
              <w:rFonts w:asciiTheme="minorHAnsi" w:eastAsiaTheme="minorEastAsia" w:hAnsiTheme="minorHAnsi" w:cstheme="minorBidi"/>
              <w:kern w:val="2"/>
              <w:sz w:val="24"/>
              <w:szCs w:val="24"/>
              <w14:ligatures w14:val="standardContextual"/>
            </w:rPr>
          </w:pPr>
          <w:hyperlink w:anchor="_Toc199838620" w:history="1">
            <w:r w:rsidRPr="00252FC3">
              <w:rPr>
                <w:rStyle w:val="Hyperlink"/>
              </w:rPr>
              <w:t>Oversight and Governance</w:t>
            </w:r>
            <w:r>
              <w:rPr>
                <w:webHidden/>
              </w:rPr>
              <w:tab/>
            </w:r>
            <w:r>
              <w:rPr>
                <w:webHidden/>
              </w:rPr>
              <w:fldChar w:fldCharType="begin"/>
            </w:r>
            <w:r>
              <w:rPr>
                <w:webHidden/>
              </w:rPr>
              <w:instrText xml:space="preserve"> PAGEREF _Toc199838620 \h </w:instrText>
            </w:r>
            <w:r>
              <w:rPr>
                <w:webHidden/>
              </w:rPr>
            </w:r>
            <w:r>
              <w:rPr>
                <w:webHidden/>
              </w:rPr>
              <w:fldChar w:fldCharType="separate"/>
            </w:r>
            <w:r>
              <w:rPr>
                <w:webHidden/>
              </w:rPr>
              <w:t>5</w:t>
            </w:r>
            <w:r>
              <w:rPr>
                <w:webHidden/>
              </w:rPr>
              <w:fldChar w:fldCharType="end"/>
            </w:r>
          </w:hyperlink>
        </w:p>
        <w:p w14:paraId="08BFA919" w14:textId="43ED66E4" w:rsidR="008D5DF7" w:rsidRDefault="008D5DF7">
          <w:pPr>
            <w:pStyle w:val="TOC1"/>
            <w:rPr>
              <w:rFonts w:asciiTheme="minorHAnsi" w:eastAsiaTheme="minorEastAsia" w:hAnsiTheme="minorHAnsi" w:cstheme="minorBidi"/>
              <w:kern w:val="2"/>
              <w:sz w:val="24"/>
              <w:szCs w:val="24"/>
              <w14:ligatures w14:val="standardContextual"/>
            </w:rPr>
          </w:pPr>
          <w:hyperlink w:anchor="_Toc199838621" w:history="1">
            <w:r w:rsidRPr="00252FC3">
              <w:rPr>
                <w:rStyle w:val="Hyperlink"/>
              </w:rPr>
              <w:t>Conduct Expectations</w:t>
            </w:r>
            <w:r>
              <w:rPr>
                <w:webHidden/>
              </w:rPr>
              <w:tab/>
            </w:r>
            <w:r>
              <w:rPr>
                <w:webHidden/>
              </w:rPr>
              <w:fldChar w:fldCharType="begin"/>
            </w:r>
            <w:r>
              <w:rPr>
                <w:webHidden/>
              </w:rPr>
              <w:instrText xml:space="preserve"> PAGEREF _Toc199838621 \h </w:instrText>
            </w:r>
            <w:r>
              <w:rPr>
                <w:webHidden/>
              </w:rPr>
            </w:r>
            <w:r>
              <w:rPr>
                <w:webHidden/>
              </w:rPr>
              <w:fldChar w:fldCharType="separate"/>
            </w:r>
            <w:r>
              <w:rPr>
                <w:webHidden/>
              </w:rPr>
              <w:t>5</w:t>
            </w:r>
            <w:r>
              <w:rPr>
                <w:webHidden/>
              </w:rPr>
              <w:fldChar w:fldCharType="end"/>
            </w:r>
          </w:hyperlink>
        </w:p>
        <w:p w14:paraId="3BC6CD72" w14:textId="26895E32" w:rsidR="008D5DF7" w:rsidRDefault="008D5DF7">
          <w:pPr>
            <w:pStyle w:val="TOC1"/>
            <w:rPr>
              <w:rFonts w:asciiTheme="minorHAnsi" w:eastAsiaTheme="minorEastAsia" w:hAnsiTheme="minorHAnsi" w:cstheme="minorBidi"/>
              <w:kern w:val="2"/>
              <w:sz w:val="24"/>
              <w:szCs w:val="24"/>
              <w14:ligatures w14:val="standardContextual"/>
            </w:rPr>
          </w:pPr>
          <w:hyperlink w:anchor="_Toc199838622" w:history="1">
            <w:r w:rsidRPr="00252FC3">
              <w:rPr>
                <w:rStyle w:val="Hyperlink"/>
              </w:rPr>
              <w:t>Authorities and Permissions</w:t>
            </w:r>
            <w:r>
              <w:rPr>
                <w:webHidden/>
              </w:rPr>
              <w:tab/>
            </w:r>
            <w:r>
              <w:rPr>
                <w:webHidden/>
              </w:rPr>
              <w:fldChar w:fldCharType="begin"/>
            </w:r>
            <w:r>
              <w:rPr>
                <w:webHidden/>
              </w:rPr>
              <w:instrText xml:space="preserve"> PAGEREF _Toc199838622 \h </w:instrText>
            </w:r>
            <w:r>
              <w:rPr>
                <w:webHidden/>
              </w:rPr>
            </w:r>
            <w:r>
              <w:rPr>
                <w:webHidden/>
              </w:rPr>
              <w:fldChar w:fldCharType="separate"/>
            </w:r>
            <w:r>
              <w:rPr>
                <w:webHidden/>
              </w:rPr>
              <w:t>7</w:t>
            </w:r>
            <w:r>
              <w:rPr>
                <w:webHidden/>
              </w:rPr>
              <w:fldChar w:fldCharType="end"/>
            </w:r>
          </w:hyperlink>
        </w:p>
        <w:p w14:paraId="54C46313" w14:textId="423DDB01" w:rsidR="008D5DF7" w:rsidRDefault="008D5DF7">
          <w:pPr>
            <w:pStyle w:val="TOC1"/>
            <w:rPr>
              <w:rFonts w:asciiTheme="minorHAnsi" w:eastAsiaTheme="minorEastAsia" w:hAnsiTheme="minorHAnsi" w:cstheme="minorBidi"/>
              <w:kern w:val="2"/>
              <w:sz w:val="24"/>
              <w:szCs w:val="24"/>
              <w14:ligatures w14:val="standardContextual"/>
            </w:rPr>
          </w:pPr>
          <w:hyperlink w:anchor="_Toc199838623" w:history="1">
            <w:r w:rsidRPr="00252FC3">
              <w:rPr>
                <w:rStyle w:val="Hyperlink"/>
              </w:rPr>
              <w:t>The Road to Competence</w:t>
            </w:r>
            <w:r>
              <w:rPr>
                <w:webHidden/>
              </w:rPr>
              <w:tab/>
            </w:r>
            <w:r>
              <w:rPr>
                <w:webHidden/>
              </w:rPr>
              <w:fldChar w:fldCharType="begin"/>
            </w:r>
            <w:r>
              <w:rPr>
                <w:webHidden/>
              </w:rPr>
              <w:instrText xml:space="preserve"> PAGEREF _Toc199838623 \h </w:instrText>
            </w:r>
            <w:r>
              <w:rPr>
                <w:webHidden/>
              </w:rPr>
            </w:r>
            <w:r>
              <w:rPr>
                <w:webHidden/>
              </w:rPr>
              <w:fldChar w:fldCharType="separate"/>
            </w:r>
            <w:r>
              <w:rPr>
                <w:webHidden/>
              </w:rPr>
              <w:t>8</w:t>
            </w:r>
            <w:r>
              <w:rPr>
                <w:webHidden/>
              </w:rPr>
              <w:fldChar w:fldCharType="end"/>
            </w:r>
          </w:hyperlink>
        </w:p>
        <w:p w14:paraId="0D19A433" w14:textId="6F5E0BF0"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24" w:history="1">
            <w:r w:rsidRPr="00252FC3">
              <w:rPr>
                <w:rStyle w:val="Hyperlink"/>
                <w:noProof/>
              </w:rPr>
              <w:t>Induction – What to expect</w:t>
            </w:r>
            <w:r>
              <w:rPr>
                <w:noProof/>
                <w:webHidden/>
              </w:rPr>
              <w:tab/>
            </w:r>
            <w:r>
              <w:rPr>
                <w:noProof/>
                <w:webHidden/>
              </w:rPr>
              <w:fldChar w:fldCharType="begin"/>
            </w:r>
            <w:r>
              <w:rPr>
                <w:noProof/>
                <w:webHidden/>
              </w:rPr>
              <w:instrText xml:space="preserve"> PAGEREF _Toc199838624 \h </w:instrText>
            </w:r>
            <w:r>
              <w:rPr>
                <w:noProof/>
                <w:webHidden/>
              </w:rPr>
            </w:r>
            <w:r>
              <w:rPr>
                <w:noProof/>
                <w:webHidden/>
              </w:rPr>
              <w:fldChar w:fldCharType="separate"/>
            </w:r>
            <w:r>
              <w:rPr>
                <w:noProof/>
                <w:webHidden/>
              </w:rPr>
              <w:t>8</w:t>
            </w:r>
            <w:r>
              <w:rPr>
                <w:noProof/>
                <w:webHidden/>
              </w:rPr>
              <w:fldChar w:fldCharType="end"/>
            </w:r>
          </w:hyperlink>
        </w:p>
        <w:p w14:paraId="2BBCF944" w14:textId="54686D5E"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25" w:history="1">
            <w:r w:rsidRPr="00252FC3">
              <w:rPr>
                <w:rStyle w:val="Hyperlink"/>
                <w:noProof/>
              </w:rPr>
              <w:t>Support &amp; Sign Off</w:t>
            </w:r>
            <w:r>
              <w:rPr>
                <w:noProof/>
                <w:webHidden/>
              </w:rPr>
              <w:tab/>
            </w:r>
            <w:r>
              <w:rPr>
                <w:noProof/>
                <w:webHidden/>
              </w:rPr>
              <w:fldChar w:fldCharType="begin"/>
            </w:r>
            <w:r>
              <w:rPr>
                <w:noProof/>
                <w:webHidden/>
              </w:rPr>
              <w:instrText xml:space="preserve"> PAGEREF _Toc199838625 \h </w:instrText>
            </w:r>
            <w:r>
              <w:rPr>
                <w:noProof/>
                <w:webHidden/>
              </w:rPr>
            </w:r>
            <w:r>
              <w:rPr>
                <w:noProof/>
                <w:webHidden/>
              </w:rPr>
              <w:fldChar w:fldCharType="separate"/>
            </w:r>
            <w:r>
              <w:rPr>
                <w:noProof/>
                <w:webHidden/>
              </w:rPr>
              <w:t>10</w:t>
            </w:r>
            <w:r>
              <w:rPr>
                <w:noProof/>
                <w:webHidden/>
              </w:rPr>
              <w:fldChar w:fldCharType="end"/>
            </w:r>
          </w:hyperlink>
        </w:p>
        <w:p w14:paraId="0BB37D26" w14:textId="2653736B"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26" w:history="1">
            <w:r w:rsidRPr="00252FC3">
              <w:rPr>
                <w:rStyle w:val="Hyperlink"/>
                <w:noProof/>
              </w:rPr>
              <w:t>Attaining Competence</w:t>
            </w:r>
            <w:r>
              <w:rPr>
                <w:noProof/>
                <w:webHidden/>
              </w:rPr>
              <w:tab/>
            </w:r>
            <w:r>
              <w:rPr>
                <w:noProof/>
                <w:webHidden/>
              </w:rPr>
              <w:fldChar w:fldCharType="begin"/>
            </w:r>
            <w:r>
              <w:rPr>
                <w:noProof/>
                <w:webHidden/>
              </w:rPr>
              <w:instrText xml:space="preserve"> PAGEREF _Toc199838626 \h </w:instrText>
            </w:r>
            <w:r>
              <w:rPr>
                <w:noProof/>
                <w:webHidden/>
              </w:rPr>
            </w:r>
            <w:r>
              <w:rPr>
                <w:noProof/>
                <w:webHidden/>
              </w:rPr>
              <w:fldChar w:fldCharType="separate"/>
            </w:r>
            <w:r>
              <w:rPr>
                <w:noProof/>
                <w:webHidden/>
              </w:rPr>
              <w:t>10</w:t>
            </w:r>
            <w:r>
              <w:rPr>
                <w:noProof/>
                <w:webHidden/>
              </w:rPr>
              <w:fldChar w:fldCharType="end"/>
            </w:r>
          </w:hyperlink>
        </w:p>
        <w:p w14:paraId="7FD4CD4E" w14:textId="3C17B9E3"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27" w:history="1">
            <w:r w:rsidRPr="00252FC3">
              <w:rPr>
                <w:rStyle w:val="Hyperlink"/>
                <w:noProof/>
              </w:rPr>
              <w:t>Statements of Professional Standing (SPS)</w:t>
            </w:r>
            <w:r>
              <w:rPr>
                <w:noProof/>
                <w:webHidden/>
              </w:rPr>
              <w:tab/>
            </w:r>
            <w:r>
              <w:rPr>
                <w:noProof/>
                <w:webHidden/>
              </w:rPr>
              <w:fldChar w:fldCharType="begin"/>
            </w:r>
            <w:r>
              <w:rPr>
                <w:noProof/>
                <w:webHidden/>
              </w:rPr>
              <w:instrText xml:space="preserve"> PAGEREF _Toc199838627 \h </w:instrText>
            </w:r>
            <w:r>
              <w:rPr>
                <w:noProof/>
                <w:webHidden/>
              </w:rPr>
            </w:r>
            <w:r>
              <w:rPr>
                <w:noProof/>
                <w:webHidden/>
              </w:rPr>
              <w:fldChar w:fldCharType="separate"/>
            </w:r>
            <w:r>
              <w:rPr>
                <w:noProof/>
                <w:webHidden/>
              </w:rPr>
              <w:t>14</w:t>
            </w:r>
            <w:r>
              <w:rPr>
                <w:noProof/>
                <w:webHidden/>
              </w:rPr>
              <w:fldChar w:fldCharType="end"/>
            </w:r>
          </w:hyperlink>
        </w:p>
        <w:p w14:paraId="21D51383" w14:textId="2A313E89"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28" w:history="1">
            <w:r w:rsidRPr="00252FC3">
              <w:rPr>
                <w:rStyle w:val="Hyperlink"/>
                <w:noProof/>
              </w:rPr>
              <w:t>Maintaining Competence</w:t>
            </w:r>
            <w:r>
              <w:rPr>
                <w:noProof/>
                <w:webHidden/>
              </w:rPr>
              <w:tab/>
            </w:r>
            <w:r>
              <w:rPr>
                <w:noProof/>
                <w:webHidden/>
              </w:rPr>
              <w:fldChar w:fldCharType="begin"/>
            </w:r>
            <w:r>
              <w:rPr>
                <w:noProof/>
                <w:webHidden/>
              </w:rPr>
              <w:instrText xml:space="preserve"> PAGEREF _Toc199838628 \h </w:instrText>
            </w:r>
            <w:r>
              <w:rPr>
                <w:noProof/>
                <w:webHidden/>
              </w:rPr>
            </w:r>
            <w:r>
              <w:rPr>
                <w:noProof/>
                <w:webHidden/>
              </w:rPr>
              <w:fldChar w:fldCharType="separate"/>
            </w:r>
            <w:r>
              <w:rPr>
                <w:noProof/>
                <w:webHidden/>
              </w:rPr>
              <w:t>15</w:t>
            </w:r>
            <w:r>
              <w:rPr>
                <w:noProof/>
                <w:webHidden/>
              </w:rPr>
              <w:fldChar w:fldCharType="end"/>
            </w:r>
          </w:hyperlink>
        </w:p>
        <w:p w14:paraId="065A4AE8" w14:textId="2403CC6C" w:rsidR="008D5DF7" w:rsidRDefault="008D5DF7">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199838629" w:history="1">
            <w:r w:rsidRPr="00252FC3">
              <w:rPr>
                <w:rStyle w:val="Hyperlink"/>
                <w:noProof/>
              </w:rPr>
              <w:t>Ongoing Supervision and Trigger Based Oversight</w:t>
            </w:r>
            <w:r>
              <w:rPr>
                <w:noProof/>
                <w:webHidden/>
              </w:rPr>
              <w:tab/>
            </w:r>
            <w:r>
              <w:rPr>
                <w:noProof/>
                <w:webHidden/>
              </w:rPr>
              <w:fldChar w:fldCharType="begin"/>
            </w:r>
            <w:r>
              <w:rPr>
                <w:noProof/>
                <w:webHidden/>
              </w:rPr>
              <w:instrText xml:space="preserve"> PAGEREF _Toc199838629 \h </w:instrText>
            </w:r>
            <w:r>
              <w:rPr>
                <w:noProof/>
                <w:webHidden/>
              </w:rPr>
            </w:r>
            <w:r>
              <w:rPr>
                <w:noProof/>
                <w:webHidden/>
              </w:rPr>
              <w:fldChar w:fldCharType="separate"/>
            </w:r>
            <w:r>
              <w:rPr>
                <w:noProof/>
                <w:webHidden/>
              </w:rPr>
              <w:t>15</w:t>
            </w:r>
            <w:r>
              <w:rPr>
                <w:noProof/>
                <w:webHidden/>
              </w:rPr>
              <w:fldChar w:fldCharType="end"/>
            </w:r>
          </w:hyperlink>
        </w:p>
        <w:p w14:paraId="50F8503E" w14:textId="074D97D8" w:rsidR="008D5DF7" w:rsidRDefault="008D5DF7">
          <w:pPr>
            <w:pStyle w:val="TOC1"/>
            <w:rPr>
              <w:rFonts w:asciiTheme="minorHAnsi" w:eastAsiaTheme="minorEastAsia" w:hAnsiTheme="minorHAnsi" w:cstheme="minorBidi"/>
              <w:kern w:val="2"/>
              <w:sz w:val="24"/>
              <w:szCs w:val="24"/>
              <w14:ligatures w14:val="standardContextual"/>
            </w:rPr>
          </w:pPr>
          <w:hyperlink w:anchor="_Toc199838630" w:history="1">
            <w:r w:rsidRPr="00252FC3">
              <w:rPr>
                <w:rStyle w:val="Hyperlink"/>
              </w:rPr>
              <w:t>Continuous Professional Development (CPD)</w:t>
            </w:r>
            <w:r>
              <w:rPr>
                <w:webHidden/>
              </w:rPr>
              <w:tab/>
            </w:r>
            <w:r>
              <w:rPr>
                <w:webHidden/>
              </w:rPr>
              <w:fldChar w:fldCharType="begin"/>
            </w:r>
            <w:r>
              <w:rPr>
                <w:webHidden/>
              </w:rPr>
              <w:instrText xml:space="preserve"> PAGEREF _Toc199838630 \h </w:instrText>
            </w:r>
            <w:r>
              <w:rPr>
                <w:webHidden/>
              </w:rPr>
            </w:r>
            <w:r>
              <w:rPr>
                <w:webHidden/>
              </w:rPr>
              <w:fldChar w:fldCharType="separate"/>
            </w:r>
            <w:r>
              <w:rPr>
                <w:webHidden/>
              </w:rPr>
              <w:t>16</w:t>
            </w:r>
            <w:r>
              <w:rPr>
                <w:webHidden/>
              </w:rPr>
              <w:fldChar w:fldCharType="end"/>
            </w:r>
          </w:hyperlink>
        </w:p>
        <w:p w14:paraId="612B2992" w14:textId="58C1CE7B"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31" w:history="1">
            <w:r w:rsidRPr="00252FC3">
              <w:rPr>
                <w:rStyle w:val="Hyperlink"/>
                <w:noProof/>
              </w:rPr>
              <w:t>Types of CPD Activity</w:t>
            </w:r>
            <w:r>
              <w:rPr>
                <w:noProof/>
                <w:webHidden/>
              </w:rPr>
              <w:tab/>
            </w:r>
            <w:r>
              <w:rPr>
                <w:noProof/>
                <w:webHidden/>
              </w:rPr>
              <w:fldChar w:fldCharType="begin"/>
            </w:r>
            <w:r>
              <w:rPr>
                <w:noProof/>
                <w:webHidden/>
              </w:rPr>
              <w:instrText xml:space="preserve"> PAGEREF _Toc199838631 \h </w:instrText>
            </w:r>
            <w:r>
              <w:rPr>
                <w:noProof/>
                <w:webHidden/>
              </w:rPr>
            </w:r>
            <w:r>
              <w:rPr>
                <w:noProof/>
                <w:webHidden/>
              </w:rPr>
              <w:fldChar w:fldCharType="separate"/>
            </w:r>
            <w:r>
              <w:rPr>
                <w:noProof/>
                <w:webHidden/>
              </w:rPr>
              <w:t>17</w:t>
            </w:r>
            <w:r>
              <w:rPr>
                <w:noProof/>
                <w:webHidden/>
              </w:rPr>
              <w:fldChar w:fldCharType="end"/>
            </w:r>
          </w:hyperlink>
        </w:p>
        <w:p w14:paraId="4FE6B814" w14:textId="13CA7132"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32" w:history="1">
            <w:r w:rsidRPr="00252FC3">
              <w:rPr>
                <w:rStyle w:val="Hyperlink"/>
                <w:noProof/>
              </w:rPr>
              <w:t>Recording and Monitoring CPD</w:t>
            </w:r>
            <w:r>
              <w:rPr>
                <w:noProof/>
                <w:webHidden/>
              </w:rPr>
              <w:tab/>
            </w:r>
            <w:r>
              <w:rPr>
                <w:noProof/>
                <w:webHidden/>
              </w:rPr>
              <w:fldChar w:fldCharType="begin"/>
            </w:r>
            <w:r>
              <w:rPr>
                <w:noProof/>
                <w:webHidden/>
              </w:rPr>
              <w:instrText xml:space="preserve"> PAGEREF _Toc199838632 \h </w:instrText>
            </w:r>
            <w:r>
              <w:rPr>
                <w:noProof/>
                <w:webHidden/>
              </w:rPr>
            </w:r>
            <w:r>
              <w:rPr>
                <w:noProof/>
                <w:webHidden/>
              </w:rPr>
              <w:fldChar w:fldCharType="separate"/>
            </w:r>
            <w:r>
              <w:rPr>
                <w:noProof/>
                <w:webHidden/>
              </w:rPr>
              <w:t>19</w:t>
            </w:r>
            <w:r>
              <w:rPr>
                <w:noProof/>
                <w:webHidden/>
              </w:rPr>
              <w:fldChar w:fldCharType="end"/>
            </w:r>
          </w:hyperlink>
        </w:p>
        <w:p w14:paraId="6130C2A3" w14:textId="41994ECC" w:rsidR="008D5DF7" w:rsidRDefault="008D5DF7">
          <w:pPr>
            <w:pStyle w:val="TOC1"/>
            <w:rPr>
              <w:rFonts w:asciiTheme="minorHAnsi" w:eastAsiaTheme="minorEastAsia" w:hAnsiTheme="minorHAnsi" w:cstheme="minorBidi"/>
              <w:kern w:val="2"/>
              <w:sz w:val="24"/>
              <w:szCs w:val="24"/>
              <w14:ligatures w14:val="standardContextual"/>
            </w:rPr>
          </w:pPr>
          <w:hyperlink w:anchor="_Toc199838633" w:history="1">
            <w:r w:rsidRPr="00252FC3">
              <w:rPr>
                <w:rStyle w:val="Hyperlink"/>
              </w:rPr>
              <w:t>Supervision &amp; Monitoring</w:t>
            </w:r>
            <w:r>
              <w:rPr>
                <w:webHidden/>
              </w:rPr>
              <w:tab/>
            </w:r>
            <w:r>
              <w:rPr>
                <w:webHidden/>
              </w:rPr>
              <w:fldChar w:fldCharType="begin"/>
            </w:r>
            <w:r>
              <w:rPr>
                <w:webHidden/>
              </w:rPr>
              <w:instrText xml:space="preserve"> PAGEREF _Toc199838633 \h </w:instrText>
            </w:r>
            <w:r>
              <w:rPr>
                <w:webHidden/>
              </w:rPr>
            </w:r>
            <w:r>
              <w:rPr>
                <w:webHidden/>
              </w:rPr>
              <w:fldChar w:fldCharType="separate"/>
            </w:r>
            <w:r>
              <w:rPr>
                <w:webHidden/>
              </w:rPr>
              <w:t>20</w:t>
            </w:r>
            <w:r>
              <w:rPr>
                <w:webHidden/>
              </w:rPr>
              <w:fldChar w:fldCharType="end"/>
            </w:r>
          </w:hyperlink>
        </w:p>
        <w:p w14:paraId="26A7CC38" w14:textId="4FD88169"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34" w:history="1">
            <w:r w:rsidRPr="00252FC3">
              <w:rPr>
                <w:rStyle w:val="Hyperlink"/>
                <w:rFonts w:eastAsia="Times New Roman"/>
                <w:noProof/>
                <w:lang w:eastAsia="en-GB"/>
              </w:rPr>
              <w:t>Effective Spans of Control for Supervision</w:t>
            </w:r>
            <w:r>
              <w:rPr>
                <w:noProof/>
                <w:webHidden/>
              </w:rPr>
              <w:tab/>
            </w:r>
            <w:r>
              <w:rPr>
                <w:noProof/>
                <w:webHidden/>
              </w:rPr>
              <w:fldChar w:fldCharType="begin"/>
            </w:r>
            <w:r>
              <w:rPr>
                <w:noProof/>
                <w:webHidden/>
              </w:rPr>
              <w:instrText xml:space="preserve"> PAGEREF _Toc199838634 \h </w:instrText>
            </w:r>
            <w:r>
              <w:rPr>
                <w:noProof/>
                <w:webHidden/>
              </w:rPr>
            </w:r>
            <w:r>
              <w:rPr>
                <w:noProof/>
                <w:webHidden/>
              </w:rPr>
              <w:fldChar w:fldCharType="separate"/>
            </w:r>
            <w:r>
              <w:rPr>
                <w:noProof/>
                <w:webHidden/>
              </w:rPr>
              <w:t>21</w:t>
            </w:r>
            <w:r>
              <w:rPr>
                <w:noProof/>
                <w:webHidden/>
              </w:rPr>
              <w:fldChar w:fldCharType="end"/>
            </w:r>
          </w:hyperlink>
        </w:p>
        <w:p w14:paraId="0E52547E" w14:textId="7C70E23F"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35" w:history="1">
            <w:r w:rsidRPr="00252FC3">
              <w:rPr>
                <w:rStyle w:val="Hyperlink"/>
                <w:noProof/>
                <w:lang w:eastAsia="en-GB"/>
              </w:rPr>
              <w:t>Supervisory Activities</w:t>
            </w:r>
            <w:r>
              <w:rPr>
                <w:noProof/>
                <w:webHidden/>
              </w:rPr>
              <w:tab/>
            </w:r>
            <w:r>
              <w:rPr>
                <w:noProof/>
                <w:webHidden/>
              </w:rPr>
              <w:fldChar w:fldCharType="begin"/>
            </w:r>
            <w:r>
              <w:rPr>
                <w:noProof/>
                <w:webHidden/>
              </w:rPr>
              <w:instrText xml:space="preserve"> PAGEREF _Toc199838635 \h </w:instrText>
            </w:r>
            <w:r>
              <w:rPr>
                <w:noProof/>
                <w:webHidden/>
              </w:rPr>
            </w:r>
            <w:r>
              <w:rPr>
                <w:noProof/>
                <w:webHidden/>
              </w:rPr>
              <w:fldChar w:fldCharType="separate"/>
            </w:r>
            <w:r>
              <w:rPr>
                <w:noProof/>
                <w:webHidden/>
              </w:rPr>
              <w:t>22</w:t>
            </w:r>
            <w:r>
              <w:rPr>
                <w:noProof/>
                <w:webHidden/>
              </w:rPr>
              <w:fldChar w:fldCharType="end"/>
            </w:r>
          </w:hyperlink>
        </w:p>
        <w:p w14:paraId="07801894" w14:textId="700B8804"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36" w:history="1">
            <w:r w:rsidRPr="00252FC3">
              <w:rPr>
                <w:rStyle w:val="Hyperlink"/>
                <w:noProof/>
              </w:rPr>
              <w:t>Client File Review Requirements</w:t>
            </w:r>
            <w:r>
              <w:rPr>
                <w:noProof/>
                <w:webHidden/>
              </w:rPr>
              <w:tab/>
            </w:r>
            <w:r>
              <w:rPr>
                <w:noProof/>
                <w:webHidden/>
              </w:rPr>
              <w:fldChar w:fldCharType="begin"/>
            </w:r>
            <w:r>
              <w:rPr>
                <w:noProof/>
                <w:webHidden/>
              </w:rPr>
              <w:instrText xml:space="preserve"> PAGEREF _Toc199838636 \h </w:instrText>
            </w:r>
            <w:r>
              <w:rPr>
                <w:noProof/>
                <w:webHidden/>
              </w:rPr>
            </w:r>
            <w:r>
              <w:rPr>
                <w:noProof/>
                <w:webHidden/>
              </w:rPr>
              <w:fldChar w:fldCharType="separate"/>
            </w:r>
            <w:r>
              <w:rPr>
                <w:noProof/>
                <w:webHidden/>
              </w:rPr>
              <w:t>22</w:t>
            </w:r>
            <w:r>
              <w:rPr>
                <w:noProof/>
                <w:webHidden/>
              </w:rPr>
              <w:fldChar w:fldCharType="end"/>
            </w:r>
          </w:hyperlink>
        </w:p>
        <w:p w14:paraId="583B9F16" w14:textId="63F56D3C" w:rsidR="008D5DF7" w:rsidRDefault="008D5DF7">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99838637" w:history="1">
            <w:r w:rsidRPr="00252FC3">
              <w:rPr>
                <w:rStyle w:val="Hyperlink"/>
                <w:noProof/>
              </w:rPr>
              <w:t>Treatment of High-Risk Transactions</w:t>
            </w:r>
            <w:r>
              <w:rPr>
                <w:noProof/>
                <w:webHidden/>
              </w:rPr>
              <w:tab/>
            </w:r>
            <w:r>
              <w:rPr>
                <w:noProof/>
                <w:webHidden/>
              </w:rPr>
              <w:fldChar w:fldCharType="begin"/>
            </w:r>
            <w:r>
              <w:rPr>
                <w:noProof/>
                <w:webHidden/>
              </w:rPr>
              <w:instrText xml:space="preserve"> PAGEREF _Toc199838637 \h </w:instrText>
            </w:r>
            <w:r>
              <w:rPr>
                <w:noProof/>
                <w:webHidden/>
              </w:rPr>
            </w:r>
            <w:r>
              <w:rPr>
                <w:noProof/>
                <w:webHidden/>
              </w:rPr>
              <w:fldChar w:fldCharType="separate"/>
            </w:r>
            <w:r>
              <w:rPr>
                <w:noProof/>
                <w:webHidden/>
              </w:rPr>
              <w:t>24</w:t>
            </w:r>
            <w:r>
              <w:rPr>
                <w:noProof/>
                <w:webHidden/>
              </w:rPr>
              <w:fldChar w:fldCharType="end"/>
            </w:r>
          </w:hyperlink>
        </w:p>
        <w:p w14:paraId="0252E71D" w14:textId="30EA8639" w:rsidR="008D5DF7" w:rsidRDefault="008D5DF7">
          <w:pPr>
            <w:pStyle w:val="TOC1"/>
            <w:rPr>
              <w:rFonts w:asciiTheme="minorHAnsi" w:eastAsiaTheme="minorEastAsia" w:hAnsiTheme="minorHAnsi" w:cstheme="minorBidi"/>
              <w:kern w:val="2"/>
              <w:sz w:val="24"/>
              <w:szCs w:val="24"/>
              <w14:ligatures w14:val="standardContextual"/>
            </w:rPr>
          </w:pPr>
          <w:hyperlink w:anchor="_Toc199838638" w:history="1">
            <w:r w:rsidRPr="00252FC3">
              <w:rPr>
                <w:rStyle w:val="Hyperlink"/>
              </w:rPr>
              <w:t>Record Keeping and Governance</w:t>
            </w:r>
            <w:r>
              <w:rPr>
                <w:webHidden/>
              </w:rPr>
              <w:tab/>
            </w:r>
            <w:r>
              <w:rPr>
                <w:webHidden/>
              </w:rPr>
              <w:fldChar w:fldCharType="begin"/>
            </w:r>
            <w:r>
              <w:rPr>
                <w:webHidden/>
              </w:rPr>
              <w:instrText xml:space="preserve"> PAGEREF _Toc199838638 \h </w:instrText>
            </w:r>
            <w:r>
              <w:rPr>
                <w:webHidden/>
              </w:rPr>
            </w:r>
            <w:r>
              <w:rPr>
                <w:webHidden/>
              </w:rPr>
              <w:fldChar w:fldCharType="separate"/>
            </w:r>
            <w:r>
              <w:rPr>
                <w:webHidden/>
              </w:rPr>
              <w:t>25</w:t>
            </w:r>
            <w:r>
              <w:rPr>
                <w:webHidden/>
              </w:rPr>
              <w:fldChar w:fldCharType="end"/>
            </w:r>
          </w:hyperlink>
        </w:p>
        <w:p w14:paraId="4178E807" w14:textId="249CC45F" w:rsidR="008D5DF7" w:rsidRDefault="008D5DF7">
          <w:pPr>
            <w:pStyle w:val="TOC1"/>
            <w:rPr>
              <w:rFonts w:asciiTheme="minorHAnsi" w:eastAsiaTheme="minorEastAsia" w:hAnsiTheme="minorHAnsi" w:cstheme="minorBidi"/>
              <w:kern w:val="2"/>
              <w:sz w:val="24"/>
              <w:szCs w:val="24"/>
              <w14:ligatures w14:val="standardContextual"/>
            </w:rPr>
          </w:pPr>
          <w:hyperlink w:anchor="_Toc199838639" w:history="1">
            <w:r w:rsidRPr="00252FC3">
              <w:rPr>
                <w:rStyle w:val="Hyperlink"/>
              </w:rPr>
              <w:t>Return from Absence</w:t>
            </w:r>
            <w:r>
              <w:rPr>
                <w:webHidden/>
              </w:rPr>
              <w:tab/>
            </w:r>
            <w:r>
              <w:rPr>
                <w:webHidden/>
              </w:rPr>
              <w:fldChar w:fldCharType="begin"/>
            </w:r>
            <w:r>
              <w:rPr>
                <w:webHidden/>
              </w:rPr>
              <w:instrText xml:space="preserve"> PAGEREF _Toc199838639 \h </w:instrText>
            </w:r>
            <w:r>
              <w:rPr>
                <w:webHidden/>
              </w:rPr>
            </w:r>
            <w:r>
              <w:rPr>
                <w:webHidden/>
              </w:rPr>
              <w:fldChar w:fldCharType="separate"/>
            </w:r>
            <w:r>
              <w:rPr>
                <w:webHidden/>
              </w:rPr>
              <w:t>26</w:t>
            </w:r>
            <w:r>
              <w:rPr>
                <w:webHidden/>
              </w:rPr>
              <w:fldChar w:fldCharType="end"/>
            </w:r>
          </w:hyperlink>
        </w:p>
        <w:p w14:paraId="566A19A1" w14:textId="2E0572A4" w:rsidR="008D5DF7" w:rsidRDefault="008D5DF7">
          <w:pPr>
            <w:pStyle w:val="TOC1"/>
            <w:rPr>
              <w:rFonts w:asciiTheme="minorHAnsi" w:eastAsiaTheme="minorEastAsia" w:hAnsiTheme="minorHAnsi" w:cstheme="minorBidi"/>
              <w:kern w:val="2"/>
              <w:sz w:val="24"/>
              <w:szCs w:val="24"/>
              <w14:ligatures w14:val="standardContextual"/>
            </w:rPr>
          </w:pPr>
          <w:hyperlink w:anchor="_Toc199838640" w:history="1">
            <w:r w:rsidRPr="00252FC3">
              <w:rPr>
                <w:rStyle w:val="Hyperlink"/>
              </w:rPr>
              <w:t>IFA – Trainee Activity &amp; Timescales</w:t>
            </w:r>
            <w:r>
              <w:rPr>
                <w:webHidden/>
              </w:rPr>
              <w:tab/>
            </w:r>
            <w:r>
              <w:rPr>
                <w:webHidden/>
              </w:rPr>
              <w:fldChar w:fldCharType="begin"/>
            </w:r>
            <w:r>
              <w:rPr>
                <w:webHidden/>
              </w:rPr>
              <w:instrText xml:space="preserve"> PAGEREF _Toc199838640 \h </w:instrText>
            </w:r>
            <w:r>
              <w:rPr>
                <w:webHidden/>
              </w:rPr>
            </w:r>
            <w:r>
              <w:rPr>
                <w:webHidden/>
              </w:rPr>
              <w:fldChar w:fldCharType="separate"/>
            </w:r>
            <w:r>
              <w:rPr>
                <w:webHidden/>
              </w:rPr>
              <w:t>28</w:t>
            </w:r>
            <w:r>
              <w:rPr>
                <w:webHidden/>
              </w:rPr>
              <w:fldChar w:fldCharType="end"/>
            </w:r>
          </w:hyperlink>
        </w:p>
        <w:p w14:paraId="1ACB28D8" w14:textId="3F66121A" w:rsidR="00D32A79" w:rsidRPr="0089381E" w:rsidRDefault="00D32A79" w:rsidP="00D32A79">
          <w:pPr>
            <w:rPr>
              <w:b/>
              <w:bCs/>
              <w:noProof/>
            </w:rPr>
          </w:pPr>
          <w:r>
            <w:rPr>
              <w:b/>
              <w:bCs/>
              <w:noProof/>
            </w:rPr>
            <w:fldChar w:fldCharType="end"/>
          </w:r>
        </w:p>
      </w:sdtContent>
    </w:sdt>
    <w:p w14:paraId="74855AAD" w14:textId="77777777" w:rsidR="008D5DF7" w:rsidRDefault="008D5DF7" w:rsidP="00D32A79">
      <w:pPr>
        <w:spacing w:after="160" w:line="259" w:lineRule="auto"/>
        <w:jc w:val="left"/>
        <w:rPr>
          <w:b/>
          <w:bCs/>
        </w:rPr>
      </w:pPr>
    </w:p>
    <w:p w14:paraId="568EFB92" w14:textId="77777777" w:rsidR="008D5DF7" w:rsidRDefault="008D5DF7" w:rsidP="00D32A79">
      <w:pPr>
        <w:spacing w:after="160" w:line="259" w:lineRule="auto"/>
        <w:jc w:val="left"/>
        <w:rPr>
          <w:b/>
          <w:bCs/>
        </w:rPr>
      </w:pPr>
    </w:p>
    <w:p w14:paraId="6AA0BB66" w14:textId="77777777" w:rsidR="008D5DF7" w:rsidRDefault="008D5DF7" w:rsidP="00D32A79">
      <w:pPr>
        <w:spacing w:after="160" w:line="259" w:lineRule="auto"/>
        <w:jc w:val="left"/>
        <w:rPr>
          <w:b/>
          <w:bCs/>
        </w:rPr>
      </w:pPr>
    </w:p>
    <w:p w14:paraId="1D530132" w14:textId="4655F4E4" w:rsidR="00863E04" w:rsidRPr="00EE2AED" w:rsidRDefault="00E47C57" w:rsidP="00D32A79">
      <w:pPr>
        <w:spacing w:after="160" w:line="259" w:lineRule="auto"/>
        <w:jc w:val="left"/>
        <w:rPr>
          <w:b/>
          <w:bCs/>
        </w:rPr>
      </w:pPr>
      <w:r w:rsidRPr="00EE2AED">
        <w:rPr>
          <w:b/>
          <w:bCs/>
        </w:rPr>
        <w:t>Version Control and Updates</w:t>
      </w:r>
    </w:p>
    <w:p w14:paraId="45BED5A6" w14:textId="41F0B479" w:rsidR="00E47C57" w:rsidRPr="00EE2AED" w:rsidRDefault="0083558E" w:rsidP="00D32A79">
      <w:pPr>
        <w:spacing w:after="160" w:line="259" w:lineRule="auto"/>
        <w:jc w:val="left"/>
        <w:rPr>
          <w:sz w:val="20"/>
          <w:szCs w:val="20"/>
        </w:rPr>
      </w:pPr>
      <w:r w:rsidRPr="00EE2AED">
        <w:rPr>
          <w:sz w:val="20"/>
          <w:szCs w:val="20"/>
        </w:rPr>
        <w:t>(It is important that</w:t>
      </w:r>
      <w:r w:rsidR="00D3270E" w:rsidRPr="00EE2AED">
        <w:rPr>
          <w:sz w:val="20"/>
          <w:szCs w:val="20"/>
        </w:rPr>
        <w:t xml:space="preserve"> this T&amp;C Scheme remains current and any amendments are</w:t>
      </w:r>
      <w:r w:rsidR="00E576C2" w:rsidRPr="00EE2AED">
        <w:rPr>
          <w:sz w:val="20"/>
          <w:szCs w:val="20"/>
        </w:rPr>
        <w:t xml:space="preserve"> signposted to ensure all employees are aware of them</w:t>
      </w:r>
      <w:proofErr w:type="gramStart"/>
      <w:r w:rsidR="00E576C2" w:rsidRPr="00EE2AED">
        <w:rPr>
          <w:sz w:val="20"/>
          <w:szCs w:val="20"/>
        </w:rPr>
        <w:t xml:space="preserve">.  </w:t>
      </w:r>
      <w:proofErr w:type="gramEnd"/>
      <w:r w:rsidR="00EE2AED" w:rsidRPr="00EE2AED">
        <w:rPr>
          <w:sz w:val="20"/>
          <w:szCs w:val="20"/>
        </w:rPr>
        <w:t xml:space="preserve">For any revisions, the following table should </w:t>
      </w:r>
      <w:proofErr w:type="gramStart"/>
      <w:r w:rsidR="00EE2AED" w:rsidRPr="00EE2AED">
        <w:rPr>
          <w:sz w:val="20"/>
          <w:szCs w:val="20"/>
        </w:rPr>
        <w:t>be updated</w:t>
      </w:r>
      <w:proofErr w:type="gramEnd"/>
      <w:r w:rsidR="00EE2AED" w:rsidRPr="00EE2AED">
        <w:rPr>
          <w:sz w:val="20"/>
          <w:szCs w:val="20"/>
        </w:rPr>
        <w:t xml:space="preserve"> with the </w:t>
      </w:r>
      <w:proofErr w:type="gramStart"/>
      <w:r w:rsidR="00EE2AED" w:rsidRPr="00EE2AED">
        <w:rPr>
          <w:sz w:val="20"/>
          <w:szCs w:val="20"/>
        </w:rPr>
        <w:t>new version</w:t>
      </w:r>
      <w:proofErr w:type="gramEnd"/>
      <w:r w:rsidR="00EE2AED" w:rsidRPr="00EE2AED">
        <w:rPr>
          <w:sz w:val="20"/>
          <w:szCs w:val="20"/>
        </w:rPr>
        <w:t xml:space="preserve"> number, the date of the change, who authored the change and a description of the new/revised information)</w:t>
      </w:r>
    </w:p>
    <w:tbl>
      <w:tblPr>
        <w:tblStyle w:val="TableGrid"/>
        <w:tblpPr w:leftFromText="180" w:rightFromText="180" w:vertAnchor="text" w:horzAnchor="margin" w:tblpXSpec="center" w:tblpY="265"/>
        <w:tblW w:w="0" w:type="auto"/>
        <w:tblLook w:val="04A0" w:firstRow="1" w:lastRow="0" w:firstColumn="1" w:lastColumn="0" w:noHBand="0" w:noVBand="1"/>
      </w:tblPr>
      <w:tblGrid>
        <w:gridCol w:w="1129"/>
        <w:gridCol w:w="1559"/>
        <w:gridCol w:w="993"/>
        <w:gridCol w:w="5335"/>
      </w:tblGrid>
      <w:tr w:rsidR="00863E04" w:rsidRPr="00223258" w14:paraId="23044D31" w14:textId="77777777" w:rsidTr="00B53EB0">
        <w:tc>
          <w:tcPr>
            <w:tcW w:w="1129" w:type="dxa"/>
          </w:tcPr>
          <w:p w14:paraId="1461A32C" w14:textId="77777777" w:rsidR="00863E04" w:rsidRPr="00223258" w:rsidRDefault="00863E04" w:rsidP="007C2758">
            <w:pPr>
              <w:rPr>
                <w:rFonts w:cs="Open Sans"/>
                <w:b/>
              </w:rPr>
            </w:pPr>
            <w:r w:rsidRPr="00223258">
              <w:rPr>
                <w:rFonts w:cs="Open Sans"/>
                <w:b/>
              </w:rPr>
              <w:t>Version Number</w:t>
            </w:r>
          </w:p>
        </w:tc>
        <w:tc>
          <w:tcPr>
            <w:tcW w:w="1559" w:type="dxa"/>
          </w:tcPr>
          <w:p w14:paraId="00BD97D2" w14:textId="77777777" w:rsidR="00863E04" w:rsidRPr="00223258" w:rsidRDefault="00863E04" w:rsidP="007C2758">
            <w:pPr>
              <w:rPr>
                <w:rFonts w:cs="Open Sans"/>
                <w:b/>
              </w:rPr>
            </w:pPr>
            <w:r w:rsidRPr="00223258">
              <w:rPr>
                <w:rFonts w:cs="Open Sans"/>
                <w:b/>
              </w:rPr>
              <w:t>Date</w:t>
            </w:r>
          </w:p>
        </w:tc>
        <w:tc>
          <w:tcPr>
            <w:tcW w:w="993" w:type="dxa"/>
          </w:tcPr>
          <w:p w14:paraId="0475F5AF" w14:textId="77777777" w:rsidR="00863E04" w:rsidRPr="00223258" w:rsidRDefault="00863E04" w:rsidP="007C2758">
            <w:pPr>
              <w:rPr>
                <w:rFonts w:cs="Open Sans"/>
                <w:b/>
              </w:rPr>
            </w:pPr>
            <w:r w:rsidRPr="00223258">
              <w:rPr>
                <w:rFonts w:cs="Open Sans"/>
                <w:b/>
              </w:rPr>
              <w:t>Author</w:t>
            </w:r>
          </w:p>
        </w:tc>
        <w:tc>
          <w:tcPr>
            <w:tcW w:w="5335" w:type="dxa"/>
          </w:tcPr>
          <w:p w14:paraId="3C5EFC5D" w14:textId="77777777" w:rsidR="00863E04" w:rsidRPr="00223258" w:rsidRDefault="00863E04" w:rsidP="007C2758">
            <w:pPr>
              <w:rPr>
                <w:rFonts w:cs="Open Sans"/>
                <w:b/>
              </w:rPr>
            </w:pPr>
            <w:r w:rsidRPr="00223258">
              <w:rPr>
                <w:rFonts w:cs="Open Sans"/>
                <w:b/>
              </w:rPr>
              <w:t>Description</w:t>
            </w:r>
          </w:p>
        </w:tc>
      </w:tr>
      <w:tr w:rsidR="00863E04" w:rsidRPr="00223258" w14:paraId="04E29C2C" w14:textId="77777777" w:rsidTr="00B53EB0">
        <w:tc>
          <w:tcPr>
            <w:tcW w:w="1129" w:type="dxa"/>
            <w:vAlign w:val="center"/>
          </w:tcPr>
          <w:p w14:paraId="77121D60" w14:textId="5DF60BB6" w:rsidR="00863E04" w:rsidRPr="00A947EE" w:rsidRDefault="003F4E3D" w:rsidP="007C2758">
            <w:pPr>
              <w:jc w:val="left"/>
              <w:rPr>
                <w:rFonts w:cs="Open Sans"/>
                <w:color w:val="FF0000"/>
                <w:sz w:val="20"/>
                <w:szCs w:val="20"/>
              </w:rPr>
            </w:pPr>
            <w:r>
              <w:rPr>
                <w:rFonts w:cs="Open Sans"/>
                <w:color w:val="FF0000"/>
                <w:sz w:val="20"/>
                <w:szCs w:val="20"/>
              </w:rPr>
              <w:t xml:space="preserve">e.g. </w:t>
            </w:r>
            <w:r w:rsidR="00A947EE">
              <w:rPr>
                <w:rFonts w:cs="Open Sans"/>
                <w:color w:val="FF0000"/>
                <w:sz w:val="20"/>
                <w:szCs w:val="20"/>
              </w:rPr>
              <w:t>1.0</w:t>
            </w:r>
          </w:p>
        </w:tc>
        <w:tc>
          <w:tcPr>
            <w:tcW w:w="1559" w:type="dxa"/>
            <w:vAlign w:val="center"/>
          </w:tcPr>
          <w:p w14:paraId="0CFDDE25" w14:textId="66DC9B2F" w:rsidR="00863E04" w:rsidRPr="00A947EE" w:rsidRDefault="00B53EB0" w:rsidP="007C2758">
            <w:pPr>
              <w:jc w:val="left"/>
              <w:rPr>
                <w:rFonts w:cs="Open Sans"/>
                <w:sz w:val="20"/>
                <w:szCs w:val="20"/>
              </w:rPr>
            </w:pPr>
            <w:r w:rsidRPr="00D926D5">
              <w:rPr>
                <w:rFonts w:cs="Open Sans"/>
                <w:color w:val="FF0000"/>
                <w:sz w:val="20"/>
                <w:szCs w:val="20"/>
              </w:rPr>
              <w:t>3</w:t>
            </w:r>
            <w:r w:rsidRPr="00D926D5">
              <w:rPr>
                <w:rFonts w:cs="Open Sans"/>
                <w:color w:val="FF0000"/>
                <w:sz w:val="20"/>
                <w:szCs w:val="20"/>
                <w:vertAlign w:val="superscript"/>
              </w:rPr>
              <w:t>rd</w:t>
            </w:r>
            <w:r w:rsidRPr="00D926D5">
              <w:rPr>
                <w:rFonts w:cs="Open Sans"/>
                <w:color w:val="FF0000"/>
                <w:sz w:val="20"/>
                <w:szCs w:val="20"/>
              </w:rPr>
              <w:t xml:space="preserve"> June 2025</w:t>
            </w:r>
          </w:p>
        </w:tc>
        <w:tc>
          <w:tcPr>
            <w:tcW w:w="993" w:type="dxa"/>
            <w:vAlign w:val="center"/>
          </w:tcPr>
          <w:p w14:paraId="023FE512" w14:textId="6091450C" w:rsidR="00863E04" w:rsidRPr="007A3C8A" w:rsidRDefault="007A3C8A" w:rsidP="007C2758">
            <w:pPr>
              <w:jc w:val="left"/>
              <w:rPr>
                <w:rFonts w:cs="Open Sans"/>
                <w:color w:val="FF0000"/>
                <w:sz w:val="20"/>
                <w:szCs w:val="20"/>
              </w:rPr>
            </w:pPr>
            <w:r w:rsidRPr="007A3C8A">
              <w:rPr>
                <w:rFonts w:cs="Open Sans"/>
                <w:color w:val="FF0000"/>
                <w:sz w:val="20"/>
                <w:szCs w:val="20"/>
              </w:rPr>
              <w:t xml:space="preserve">A </w:t>
            </w:r>
            <w:r w:rsidR="00CE60BB">
              <w:rPr>
                <w:rFonts w:cs="Open Sans"/>
                <w:color w:val="FF0000"/>
                <w:sz w:val="20"/>
                <w:szCs w:val="20"/>
              </w:rPr>
              <w:t>Person</w:t>
            </w:r>
          </w:p>
        </w:tc>
        <w:tc>
          <w:tcPr>
            <w:tcW w:w="5335" w:type="dxa"/>
            <w:vAlign w:val="center"/>
          </w:tcPr>
          <w:p w14:paraId="68439CC8" w14:textId="520C19A0" w:rsidR="00863E04" w:rsidRPr="00A947EE" w:rsidRDefault="003F4E3D" w:rsidP="007C2758">
            <w:pPr>
              <w:jc w:val="left"/>
              <w:rPr>
                <w:rFonts w:cs="Open Sans"/>
                <w:sz w:val="20"/>
                <w:szCs w:val="20"/>
              </w:rPr>
            </w:pPr>
            <w:r w:rsidRPr="007A079C">
              <w:rPr>
                <w:rFonts w:cs="Open Sans"/>
                <w:color w:val="FF0000"/>
                <w:sz w:val="20"/>
                <w:szCs w:val="20"/>
              </w:rPr>
              <w:t>Change in the name of the authorised Supervisor</w:t>
            </w:r>
            <w:r w:rsidR="007A079C" w:rsidRPr="007A079C">
              <w:rPr>
                <w:rFonts w:cs="Open Sans"/>
                <w:color w:val="FF0000"/>
                <w:sz w:val="20"/>
                <w:szCs w:val="20"/>
              </w:rPr>
              <w:t xml:space="preserve"> from A Smith to J Taylor (Oversight &amp; Governance)</w:t>
            </w:r>
          </w:p>
        </w:tc>
      </w:tr>
      <w:tr w:rsidR="00863E04" w:rsidRPr="00223258" w14:paraId="625419F6" w14:textId="77777777" w:rsidTr="00B53EB0">
        <w:tc>
          <w:tcPr>
            <w:tcW w:w="1129" w:type="dxa"/>
            <w:vAlign w:val="center"/>
          </w:tcPr>
          <w:p w14:paraId="048E039A" w14:textId="77777777" w:rsidR="00863E04" w:rsidRPr="00A947EE" w:rsidRDefault="00863E04" w:rsidP="007C2758">
            <w:pPr>
              <w:jc w:val="left"/>
              <w:rPr>
                <w:rFonts w:cs="Open Sans"/>
                <w:sz w:val="20"/>
                <w:szCs w:val="20"/>
              </w:rPr>
            </w:pPr>
          </w:p>
        </w:tc>
        <w:tc>
          <w:tcPr>
            <w:tcW w:w="1559" w:type="dxa"/>
            <w:vAlign w:val="center"/>
          </w:tcPr>
          <w:p w14:paraId="572CE696" w14:textId="77777777" w:rsidR="00863E04" w:rsidRPr="00A947EE" w:rsidRDefault="00863E04" w:rsidP="007C2758">
            <w:pPr>
              <w:jc w:val="left"/>
              <w:rPr>
                <w:rFonts w:cs="Open Sans"/>
                <w:sz w:val="20"/>
                <w:szCs w:val="20"/>
              </w:rPr>
            </w:pPr>
          </w:p>
        </w:tc>
        <w:tc>
          <w:tcPr>
            <w:tcW w:w="993" w:type="dxa"/>
            <w:vAlign w:val="center"/>
          </w:tcPr>
          <w:p w14:paraId="7096F8CF" w14:textId="77777777" w:rsidR="00863E04" w:rsidRPr="00A947EE" w:rsidRDefault="00863E04" w:rsidP="007C2758">
            <w:pPr>
              <w:jc w:val="left"/>
              <w:rPr>
                <w:rFonts w:cs="Open Sans"/>
                <w:sz w:val="20"/>
                <w:szCs w:val="20"/>
              </w:rPr>
            </w:pPr>
          </w:p>
        </w:tc>
        <w:tc>
          <w:tcPr>
            <w:tcW w:w="5335" w:type="dxa"/>
            <w:vAlign w:val="center"/>
          </w:tcPr>
          <w:p w14:paraId="6AD401C0" w14:textId="77777777" w:rsidR="00863E04" w:rsidRPr="00A947EE" w:rsidRDefault="00863E04" w:rsidP="007C2758">
            <w:pPr>
              <w:jc w:val="left"/>
              <w:rPr>
                <w:rFonts w:cs="Open Sans"/>
                <w:sz w:val="20"/>
                <w:szCs w:val="20"/>
              </w:rPr>
            </w:pPr>
          </w:p>
        </w:tc>
      </w:tr>
      <w:tr w:rsidR="00863E04" w14:paraId="7B74FB7D" w14:textId="77777777" w:rsidTr="00B53EB0">
        <w:tc>
          <w:tcPr>
            <w:tcW w:w="1129" w:type="dxa"/>
            <w:vAlign w:val="center"/>
          </w:tcPr>
          <w:p w14:paraId="4F74CBE8" w14:textId="77777777" w:rsidR="00863E04" w:rsidRPr="00A947EE" w:rsidRDefault="00863E04" w:rsidP="007C2758">
            <w:pPr>
              <w:jc w:val="left"/>
              <w:rPr>
                <w:rFonts w:cs="Open Sans"/>
                <w:sz w:val="20"/>
                <w:szCs w:val="20"/>
              </w:rPr>
            </w:pPr>
          </w:p>
        </w:tc>
        <w:tc>
          <w:tcPr>
            <w:tcW w:w="1559" w:type="dxa"/>
            <w:vAlign w:val="center"/>
          </w:tcPr>
          <w:p w14:paraId="4EBF5F71" w14:textId="77777777" w:rsidR="00863E04" w:rsidRPr="00A947EE" w:rsidRDefault="00863E04" w:rsidP="007C2758">
            <w:pPr>
              <w:jc w:val="left"/>
              <w:rPr>
                <w:rFonts w:cs="Open Sans"/>
                <w:sz w:val="20"/>
                <w:szCs w:val="20"/>
              </w:rPr>
            </w:pPr>
          </w:p>
        </w:tc>
        <w:tc>
          <w:tcPr>
            <w:tcW w:w="993" w:type="dxa"/>
            <w:vAlign w:val="center"/>
          </w:tcPr>
          <w:p w14:paraId="1EBD5BED" w14:textId="77777777" w:rsidR="00863E04" w:rsidRPr="00A947EE" w:rsidRDefault="00863E04" w:rsidP="007C2758">
            <w:pPr>
              <w:jc w:val="left"/>
              <w:rPr>
                <w:rFonts w:cs="Open Sans"/>
                <w:sz w:val="20"/>
                <w:szCs w:val="20"/>
              </w:rPr>
            </w:pPr>
          </w:p>
        </w:tc>
        <w:tc>
          <w:tcPr>
            <w:tcW w:w="5335" w:type="dxa"/>
            <w:vAlign w:val="center"/>
          </w:tcPr>
          <w:p w14:paraId="617C5FD3" w14:textId="77777777" w:rsidR="00863E04" w:rsidRPr="00A947EE" w:rsidRDefault="00863E04" w:rsidP="007C2758">
            <w:pPr>
              <w:jc w:val="left"/>
              <w:rPr>
                <w:rFonts w:cs="Open Sans"/>
                <w:sz w:val="20"/>
                <w:szCs w:val="20"/>
              </w:rPr>
            </w:pPr>
          </w:p>
        </w:tc>
      </w:tr>
      <w:tr w:rsidR="00863E04" w14:paraId="0595F110" w14:textId="77777777" w:rsidTr="00B53EB0">
        <w:tc>
          <w:tcPr>
            <w:tcW w:w="1129" w:type="dxa"/>
            <w:vAlign w:val="center"/>
          </w:tcPr>
          <w:p w14:paraId="51E0E272" w14:textId="77777777" w:rsidR="00863E04" w:rsidRPr="00A947EE" w:rsidRDefault="00863E04" w:rsidP="007C2758">
            <w:pPr>
              <w:jc w:val="left"/>
              <w:rPr>
                <w:rFonts w:cs="Open Sans"/>
                <w:sz w:val="20"/>
                <w:szCs w:val="20"/>
              </w:rPr>
            </w:pPr>
          </w:p>
        </w:tc>
        <w:tc>
          <w:tcPr>
            <w:tcW w:w="1559" w:type="dxa"/>
            <w:vAlign w:val="center"/>
          </w:tcPr>
          <w:p w14:paraId="3B5C08F4" w14:textId="77777777" w:rsidR="00863E04" w:rsidRPr="00A947EE" w:rsidRDefault="00863E04" w:rsidP="007C2758">
            <w:pPr>
              <w:jc w:val="left"/>
              <w:rPr>
                <w:rFonts w:cs="Open Sans"/>
                <w:sz w:val="20"/>
                <w:szCs w:val="20"/>
              </w:rPr>
            </w:pPr>
          </w:p>
        </w:tc>
        <w:tc>
          <w:tcPr>
            <w:tcW w:w="993" w:type="dxa"/>
            <w:vAlign w:val="center"/>
          </w:tcPr>
          <w:p w14:paraId="54D054CD" w14:textId="77777777" w:rsidR="00863E04" w:rsidRPr="00A947EE" w:rsidRDefault="00863E04" w:rsidP="007C2758">
            <w:pPr>
              <w:jc w:val="left"/>
              <w:rPr>
                <w:rFonts w:cs="Open Sans"/>
                <w:sz w:val="20"/>
                <w:szCs w:val="20"/>
              </w:rPr>
            </w:pPr>
          </w:p>
        </w:tc>
        <w:tc>
          <w:tcPr>
            <w:tcW w:w="5335" w:type="dxa"/>
            <w:vAlign w:val="center"/>
          </w:tcPr>
          <w:p w14:paraId="57522658" w14:textId="77777777" w:rsidR="00863E04" w:rsidRPr="00A947EE" w:rsidRDefault="00863E04" w:rsidP="007C2758">
            <w:pPr>
              <w:jc w:val="left"/>
              <w:rPr>
                <w:rFonts w:cs="Open Sans"/>
                <w:sz w:val="20"/>
                <w:szCs w:val="20"/>
              </w:rPr>
            </w:pPr>
          </w:p>
        </w:tc>
      </w:tr>
    </w:tbl>
    <w:p w14:paraId="7EEAB12B" w14:textId="1CF5D0AB" w:rsidR="00D32A79" w:rsidRDefault="00D32A79" w:rsidP="00D32A79">
      <w:pPr>
        <w:spacing w:after="160" w:line="259" w:lineRule="auto"/>
        <w:jc w:val="left"/>
      </w:pPr>
    </w:p>
    <w:p w14:paraId="6DC6BEF9" w14:textId="77777777" w:rsidR="00863E04" w:rsidRDefault="00863E04" w:rsidP="00D32A79">
      <w:pPr>
        <w:spacing w:after="160" w:line="259" w:lineRule="auto"/>
        <w:jc w:val="left"/>
      </w:pPr>
    </w:p>
    <w:p w14:paraId="1FE0D71D" w14:textId="77777777" w:rsidR="00863E04" w:rsidRDefault="00863E04" w:rsidP="00D32A79">
      <w:pPr>
        <w:spacing w:after="160" w:line="259" w:lineRule="auto"/>
        <w:jc w:val="left"/>
      </w:pPr>
    </w:p>
    <w:p w14:paraId="20162E20" w14:textId="77777777" w:rsidR="00863E04" w:rsidRDefault="00863E04" w:rsidP="00D32A79">
      <w:pPr>
        <w:spacing w:after="160" w:line="259" w:lineRule="auto"/>
        <w:jc w:val="left"/>
      </w:pPr>
    </w:p>
    <w:p w14:paraId="125FE7E1" w14:textId="77777777" w:rsidR="00863E04" w:rsidRDefault="00863E04" w:rsidP="00D32A79">
      <w:pPr>
        <w:spacing w:after="160" w:line="259" w:lineRule="auto"/>
        <w:jc w:val="left"/>
      </w:pPr>
    </w:p>
    <w:p w14:paraId="33C400FA" w14:textId="77777777" w:rsidR="00863E04" w:rsidRDefault="00863E04" w:rsidP="00D32A79">
      <w:pPr>
        <w:spacing w:after="160" w:line="259" w:lineRule="auto"/>
        <w:jc w:val="left"/>
      </w:pPr>
    </w:p>
    <w:p w14:paraId="7E82CFCE" w14:textId="77777777" w:rsidR="00863E04" w:rsidRDefault="00863E04" w:rsidP="00D32A79">
      <w:pPr>
        <w:spacing w:after="160" w:line="259" w:lineRule="auto"/>
        <w:jc w:val="left"/>
      </w:pPr>
    </w:p>
    <w:p w14:paraId="1AC8D6F9" w14:textId="77777777" w:rsidR="00863E04" w:rsidRDefault="00863E04" w:rsidP="00D32A79">
      <w:pPr>
        <w:spacing w:after="160" w:line="259" w:lineRule="auto"/>
        <w:jc w:val="left"/>
      </w:pPr>
    </w:p>
    <w:p w14:paraId="5FCEE83D" w14:textId="77777777" w:rsidR="00863E04" w:rsidRDefault="00863E04" w:rsidP="00D32A79">
      <w:pPr>
        <w:spacing w:after="160" w:line="259" w:lineRule="auto"/>
        <w:jc w:val="left"/>
      </w:pPr>
    </w:p>
    <w:p w14:paraId="24C69D55" w14:textId="77777777" w:rsidR="00863E04" w:rsidRDefault="00863E04" w:rsidP="00D32A79">
      <w:pPr>
        <w:spacing w:after="160" w:line="259" w:lineRule="auto"/>
        <w:jc w:val="left"/>
      </w:pPr>
    </w:p>
    <w:p w14:paraId="2EE4B634" w14:textId="77777777" w:rsidR="00863E04" w:rsidRDefault="00863E04" w:rsidP="00D32A79">
      <w:pPr>
        <w:spacing w:after="160" w:line="259" w:lineRule="auto"/>
        <w:jc w:val="left"/>
      </w:pPr>
    </w:p>
    <w:p w14:paraId="4F3240A3" w14:textId="77777777" w:rsidR="00863E04" w:rsidRDefault="00863E04" w:rsidP="00D32A79">
      <w:pPr>
        <w:spacing w:after="160" w:line="259" w:lineRule="auto"/>
        <w:jc w:val="left"/>
      </w:pPr>
    </w:p>
    <w:p w14:paraId="0B0AE25D" w14:textId="77777777" w:rsidR="00863E04" w:rsidRDefault="00863E04" w:rsidP="00D32A79">
      <w:pPr>
        <w:spacing w:after="160" w:line="259" w:lineRule="auto"/>
        <w:jc w:val="left"/>
      </w:pPr>
    </w:p>
    <w:p w14:paraId="23DED35E" w14:textId="77777777" w:rsidR="00863E04" w:rsidRDefault="00863E04" w:rsidP="00D32A79">
      <w:pPr>
        <w:spacing w:after="160" w:line="259" w:lineRule="auto"/>
        <w:jc w:val="left"/>
      </w:pPr>
    </w:p>
    <w:p w14:paraId="2C3CFF4B" w14:textId="77777777" w:rsidR="00863E04" w:rsidRDefault="00863E04" w:rsidP="00D32A79">
      <w:pPr>
        <w:spacing w:after="160" w:line="259" w:lineRule="auto"/>
        <w:jc w:val="left"/>
      </w:pPr>
    </w:p>
    <w:p w14:paraId="10B5FFFA" w14:textId="77777777" w:rsidR="00863E04" w:rsidRDefault="00863E04" w:rsidP="00D32A79">
      <w:pPr>
        <w:spacing w:after="160" w:line="259" w:lineRule="auto"/>
        <w:jc w:val="left"/>
      </w:pPr>
    </w:p>
    <w:p w14:paraId="33652CCE" w14:textId="77777777" w:rsidR="00863E04" w:rsidRDefault="00863E04" w:rsidP="00D32A79">
      <w:pPr>
        <w:spacing w:after="160" w:line="259" w:lineRule="auto"/>
        <w:jc w:val="left"/>
      </w:pPr>
    </w:p>
    <w:p w14:paraId="608393C6" w14:textId="11DC9B9C" w:rsidR="00934BB4" w:rsidRPr="000F487F" w:rsidRDefault="00934BB4" w:rsidP="00D32A79">
      <w:pPr>
        <w:pStyle w:val="Heading1"/>
        <w:rPr>
          <w:color w:val="auto"/>
        </w:rPr>
      </w:pPr>
      <w:bookmarkStart w:id="0" w:name="_Toc199838617"/>
      <w:r w:rsidRPr="000F487F">
        <w:rPr>
          <w:color w:val="auto"/>
        </w:rPr>
        <w:lastRenderedPageBreak/>
        <w:t>Introduction</w:t>
      </w:r>
      <w:bookmarkEnd w:id="0"/>
    </w:p>
    <w:p w14:paraId="356066C0" w14:textId="7FFCFB49" w:rsidR="00C74206" w:rsidRDefault="00C74206" w:rsidP="00C74206">
      <w:r w:rsidRPr="00C74206">
        <w:t xml:space="preserve">At the heart of any successful advisory firm lies the trust clients place in the people who guide them. That trust </w:t>
      </w:r>
      <w:proofErr w:type="gramStart"/>
      <w:r w:rsidRPr="00C74206">
        <w:t>is earned</w:t>
      </w:r>
      <w:proofErr w:type="gramEnd"/>
      <w:r>
        <w:t>. N</w:t>
      </w:r>
      <w:r w:rsidRPr="00C74206">
        <w:t>ot just through qualifications and experience</w:t>
      </w:r>
      <w:r>
        <w:t xml:space="preserve">, </w:t>
      </w:r>
      <w:r w:rsidRPr="00C74206">
        <w:t>but through a continued commitment to ethical conduct, personal development, and consistently sound advice.</w:t>
      </w:r>
    </w:p>
    <w:p w14:paraId="079BD745" w14:textId="77777777" w:rsidR="00C74206" w:rsidRPr="00C74206" w:rsidRDefault="00C74206" w:rsidP="00C74206"/>
    <w:p w14:paraId="4E52A9C4" w14:textId="77777777" w:rsidR="00C74206" w:rsidRDefault="00C74206" w:rsidP="00C74206">
      <w:r w:rsidRPr="00C74206">
        <w:t xml:space="preserve">This document introduces our Training &amp; Competence (T&amp;C) scheme: a structured framework designed to support individuals throughout their professional journey. From new joiners learning the foundations of our business to experienced advisers maintaining </w:t>
      </w:r>
      <w:proofErr w:type="gramStart"/>
      <w:r w:rsidRPr="00C74206">
        <w:t>high standards</w:t>
      </w:r>
      <w:proofErr w:type="gramEnd"/>
      <w:r w:rsidRPr="00C74206">
        <w:t>, the scheme reflects our belief that competence is not a one-time achievement, but a sustained commitment.</w:t>
      </w:r>
    </w:p>
    <w:p w14:paraId="4D863D81" w14:textId="77777777" w:rsidR="00C74206" w:rsidRPr="00C74206" w:rsidRDefault="00C74206" w:rsidP="00C74206"/>
    <w:p w14:paraId="5447B21F" w14:textId="1822B150" w:rsidR="00C74206" w:rsidRPr="00C74206" w:rsidRDefault="00C74206" w:rsidP="00C74206">
      <w:r w:rsidRPr="00C74206">
        <w:t xml:space="preserve">By </w:t>
      </w:r>
      <w:r>
        <w:t>embracing</w:t>
      </w:r>
      <w:r w:rsidRPr="00C74206">
        <w:t xml:space="preserve"> a culture of accountability, feedback, and continuous improvement, we aim to ensure our people remain confident, credible, and </w:t>
      </w:r>
      <w:proofErr w:type="gramStart"/>
      <w:r w:rsidRPr="00C74206">
        <w:t>client-ready</w:t>
      </w:r>
      <w:proofErr w:type="gramEnd"/>
      <w:r w:rsidRPr="00C74206">
        <w:t>.</w:t>
      </w:r>
    </w:p>
    <w:p w14:paraId="5B1B30BB" w14:textId="77777777" w:rsidR="00934BB4" w:rsidRPr="00934BB4" w:rsidRDefault="00934BB4" w:rsidP="00934BB4"/>
    <w:p w14:paraId="0C9BC280" w14:textId="1C0AAC60" w:rsidR="00D32A79" w:rsidRPr="000F487F" w:rsidRDefault="00D32A79" w:rsidP="00D32A79">
      <w:pPr>
        <w:pStyle w:val="Heading1"/>
        <w:rPr>
          <w:color w:val="auto"/>
        </w:rPr>
      </w:pPr>
      <w:bookmarkStart w:id="1" w:name="_Toc199838618"/>
      <w:r w:rsidRPr="000F487F">
        <w:rPr>
          <w:color w:val="auto"/>
        </w:rPr>
        <w:t>Purpose</w:t>
      </w:r>
      <w:bookmarkEnd w:id="1"/>
    </w:p>
    <w:p w14:paraId="50276D1E" w14:textId="77777777" w:rsidR="00C74206" w:rsidRDefault="00C74206" w:rsidP="00C74206">
      <w:r w:rsidRPr="00C74206">
        <w:t xml:space="preserve">The T&amp;C scheme has </w:t>
      </w:r>
      <w:proofErr w:type="gramStart"/>
      <w:r w:rsidRPr="00C74206">
        <w:t>been developed</w:t>
      </w:r>
      <w:proofErr w:type="gramEnd"/>
      <w:r w:rsidRPr="00C74206">
        <w:t xml:space="preserve"> to ensure our firm meets the </w:t>
      </w:r>
      <w:proofErr w:type="gramStart"/>
      <w:r w:rsidRPr="00C74206">
        <w:t>high standards</w:t>
      </w:r>
      <w:proofErr w:type="gramEnd"/>
      <w:r w:rsidRPr="00C74206">
        <w:t xml:space="preserve"> expected by both our regulator and our clients. It provides a clear and practical framework to support the development, oversight, and ethical conduct of all individuals in relevant roles.</w:t>
      </w:r>
    </w:p>
    <w:p w14:paraId="05B2836C" w14:textId="77777777" w:rsidR="00C74206" w:rsidRPr="00C74206" w:rsidRDefault="00C74206" w:rsidP="00C74206"/>
    <w:p w14:paraId="139208BE" w14:textId="77777777" w:rsidR="00C74206" w:rsidRPr="00C74206" w:rsidRDefault="00C74206" w:rsidP="00C74206">
      <w:r w:rsidRPr="00C74206">
        <w:t xml:space="preserve">Specifically, the scheme </w:t>
      </w:r>
      <w:proofErr w:type="gramStart"/>
      <w:r w:rsidRPr="00C74206">
        <w:t>is designed</w:t>
      </w:r>
      <w:proofErr w:type="gramEnd"/>
      <w:r w:rsidRPr="00C74206">
        <w:t xml:space="preserve"> to:</w:t>
      </w:r>
    </w:p>
    <w:p w14:paraId="646629A1" w14:textId="77777777" w:rsidR="00C74206" w:rsidRPr="00C74206" w:rsidRDefault="00C74206" w:rsidP="006839B9">
      <w:pPr>
        <w:pStyle w:val="ListParagraph"/>
        <w:numPr>
          <w:ilvl w:val="0"/>
          <w:numId w:val="4"/>
        </w:numPr>
      </w:pPr>
      <w:r w:rsidRPr="00C74206">
        <w:t>Ensure compliance with regulatory requirements while meeting our internal standards for performance and professionalism</w:t>
      </w:r>
    </w:p>
    <w:p w14:paraId="3E57DFB4" w14:textId="77777777" w:rsidR="00C74206" w:rsidRPr="00C74206" w:rsidRDefault="00C74206" w:rsidP="006839B9">
      <w:pPr>
        <w:pStyle w:val="ListParagraph"/>
        <w:numPr>
          <w:ilvl w:val="0"/>
          <w:numId w:val="4"/>
        </w:numPr>
      </w:pPr>
      <w:r w:rsidRPr="00C74206">
        <w:t>Support the structured growth and ongoing development of our team</w:t>
      </w:r>
    </w:p>
    <w:p w14:paraId="4C2DCA8A" w14:textId="77777777" w:rsidR="00C74206" w:rsidRPr="00C74206" w:rsidRDefault="00C74206" w:rsidP="006839B9">
      <w:pPr>
        <w:pStyle w:val="ListParagraph"/>
        <w:numPr>
          <w:ilvl w:val="0"/>
          <w:numId w:val="4"/>
        </w:numPr>
      </w:pPr>
      <w:r w:rsidRPr="00C74206">
        <w:t>Help fulfil our responsibilities under the Senior Managers and Certification Regime (SM&amp;CR)</w:t>
      </w:r>
    </w:p>
    <w:p w14:paraId="13BFFB49" w14:textId="77777777" w:rsidR="00C74206" w:rsidRDefault="00C74206" w:rsidP="006839B9">
      <w:pPr>
        <w:pStyle w:val="ListParagraph"/>
        <w:numPr>
          <w:ilvl w:val="0"/>
          <w:numId w:val="4"/>
        </w:numPr>
      </w:pPr>
      <w:r w:rsidRPr="00C74206">
        <w:t>Support our obligations under the Consumer Duty, particularly in delivering consistently good outcomes for clients</w:t>
      </w:r>
    </w:p>
    <w:p w14:paraId="2575351C" w14:textId="77777777" w:rsidR="00C74206" w:rsidRPr="00C74206" w:rsidRDefault="00C74206" w:rsidP="00C74206">
      <w:pPr>
        <w:pStyle w:val="ListParagraph"/>
      </w:pPr>
    </w:p>
    <w:p w14:paraId="4717C941" w14:textId="3C1124E5" w:rsidR="00C74206" w:rsidRDefault="00C74206" w:rsidP="00C74206">
      <w:r w:rsidRPr="00C74206">
        <w:t>As part of our commitment to the FCA’s requirement for ‘competent employees</w:t>
      </w:r>
      <w:proofErr w:type="gramStart"/>
      <w:r w:rsidRPr="00C74206">
        <w:t>’,</w:t>
      </w:r>
      <w:proofErr w:type="gramEnd"/>
      <w:r w:rsidRPr="00C74206">
        <w:t xml:space="preserve"> we ensure all individuals have</w:t>
      </w:r>
      <w:r>
        <w:t xml:space="preserve">, </w:t>
      </w:r>
      <w:r w:rsidRPr="00C74206">
        <w:t>and maintain</w:t>
      </w:r>
      <w:r>
        <w:t xml:space="preserve">, </w:t>
      </w:r>
      <w:r w:rsidRPr="00C74206">
        <w:t>the knowledge, skills, and ethical standards required for their role.</w:t>
      </w:r>
    </w:p>
    <w:p w14:paraId="274B96B6" w14:textId="77777777" w:rsidR="00C74206" w:rsidRDefault="00C74206" w:rsidP="00C74206"/>
    <w:p w14:paraId="7CEBEEE6" w14:textId="77777777" w:rsidR="00C74206" w:rsidRDefault="00C74206" w:rsidP="00C74206"/>
    <w:p w14:paraId="5E8CEBA2" w14:textId="77777777" w:rsidR="00C74206" w:rsidRPr="00C74206" w:rsidRDefault="00C74206" w:rsidP="00C74206"/>
    <w:p w14:paraId="7690A31E" w14:textId="77777777" w:rsidR="00C74206" w:rsidRDefault="00C74206" w:rsidP="00C74206">
      <w:r w:rsidRPr="00C74206">
        <w:t>Our T&amp;C framework reflects three key stages of development:</w:t>
      </w:r>
    </w:p>
    <w:p w14:paraId="18C08CDD" w14:textId="77777777" w:rsidR="00C74206" w:rsidRPr="00C74206" w:rsidRDefault="00C74206" w:rsidP="00C74206"/>
    <w:p w14:paraId="25CEB44E" w14:textId="77777777" w:rsidR="00C74206" w:rsidRPr="00C74206" w:rsidRDefault="00C74206" w:rsidP="00C74206">
      <w:r w:rsidRPr="00C74206">
        <w:rPr>
          <w:b/>
          <w:bCs/>
        </w:rPr>
        <w:t>Initial onboarding and training</w:t>
      </w:r>
      <w:r w:rsidRPr="00C74206">
        <w:t xml:space="preserve"> – introducing individuals to our firm, values, and operational processes</w:t>
      </w:r>
    </w:p>
    <w:p w14:paraId="05E7D84D" w14:textId="77777777" w:rsidR="00C74206" w:rsidRPr="00C74206" w:rsidRDefault="00C74206" w:rsidP="00C74206">
      <w:r w:rsidRPr="00C74206">
        <w:rPr>
          <w:b/>
          <w:bCs/>
        </w:rPr>
        <w:t>Attaining competence</w:t>
      </w:r>
      <w:r w:rsidRPr="00C74206">
        <w:t xml:space="preserve"> – developing and evidencing capability under appropriate supervision</w:t>
      </w:r>
    </w:p>
    <w:p w14:paraId="2A61ABC9" w14:textId="77777777" w:rsidR="00C74206" w:rsidRDefault="00C74206" w:rsidP="00C74206">
      <w:r w:rsidRPr="00C74206">
        <w:rPr>
          <w:b/>
          <w:bCs/>
        </w:rPr>
        <w:t>Maintaining competence</w:t>
      </w:r>
      <w:r w:rsidRPr="00C74206">
        <w:t xml:space="preserve"> – ensuring ongoing suitability through regular assessments and risk-based monitoring</w:t>
      </w:r>
    </w:p>
    <w:p w14:paraId="51EBE8AF" w14:textId="77777777" w:rsidR="00C74206" w:rsidRPr="00C74206" w:rsidRDefault="00C74206" w:rsidP="00C74206"/>
    <w:p w14:paraId="0007FF23" w14:textId="77777777" w:rsidR="00C74206" w:rsidRPr="00C74206" w:rsidRDefault="00C74206" w:rsidP="00C74206">
      <w:r w:rsidRPr="00C74206">
        <w:t xml:space="preserve">This document should </w:t>
      </w:r>
      <w:proofErr w:type="gramStart"/>
      <w:r w:rsidRPr="00C74206">
        <w:t>be read</w:t>
      </w:r>
      <w:proofErr w:type="gramEnd"/>
      <w:r w:rsidRPr="00C74206">
        <w:t xml:space="preserve"> alongside relevant procedures and role-specific expectations, which define what ‘good’ looks like across our business.</w:t>
      </w:r>
    </w:p>
    <w:p w14:paraId="65EB370A" w14:textId="2A926F01" w:rsidR="00D32A79" w:rsidRPr="000F487F" w:rsidRDefault="005D6E3D" w:rsidP="00D32A79">
      <w:pPr>
        <w:pStyle w:val="Heading1"/>
        <w:rPr>
          <w:color w:val="auto"/>
        </w:rPr>
      </w:pPr>
      <w:bookmarkStart w:id="2" w:name="_Toc199838619"/>
      <w:r w:rsidRPr="000F487F">
        <w:rPr>
          <w:color w:val="auto"/>
        </w:rPr>
        <w:t>Scope</w:t>
      </w:r>
      <w:bookmarkEnd w:id="2"/>
    </w:p>
    <w:p w14:paraId="0BAB60C3" w14:textId="3428A9C0" w:rsidR="00D32A79" w:rsidRPr="00223258" w:rsidRDefault="00D32A79" w:rsidP="00D32A79">
      <w:pPr>
        <w:rPr>
          <w:rFonts w:cs="Open Sans"/>
        </w:rPr>
      </w:pPr>
      <w:r w:rsidRPr="00223258">
        <w:rPr>
          <w:rFonts w:cs="Open Sans"/>
        </w:rPr>
        <w:t xml:space="preserve">The </w:t>
      </w:r>
      <w:r w:rsidR="00C74206">
        <w:rPr>
          <w:rFonts w:cs="Open Sans"/>
        </w:rPr>
        <w:t xml:space="preserve">T&amp;C scheme applies to those </w:t>
      </w:r>
      <w:proofErr w:type="gramStart"/>
      <w:r w:rsidR="00C74206">
        <w:rPr>
          <w:rFonts w:cs="Open Sans"/>
        </w:rPr>
        <w:t>individuals</w:t>
      </w:r>
      <w:proofErr w:type="gramEnd"/>
      <w:r w:rsidR="00C74206">
        <w:rPr>
          <w:rFonts w:cs="Open Sans"/>
        </w:rPr>
        <w:t xml:space="preserve"> undertaking activities in the following areas:</w:t>
      </w:r>
    </w:p>
    <w:p w14:paraId="051A0AF3" w14:textId="08CC7343" w:rsidR="00D32A79" w:rsidRDefault="00D32A79" w:rsidP="006839B9">
      <w:pPr>
        <w:pStyle w:val="ListParagraph"/>
        <w:numPr>
          <w:ilvl w:val="0"/>
          <w:numId w:val="3"/>
        </w:numPr>
        <w:ind w:left="426"/>
        <w:rPr>
          <w:rFonts w:cs="Open Sans"/>
        </w:rPr>
      </w:pPr>
      <w:r w:rsidRPr="00D32A79">
        <w:rPr>
          <w:rFonts w:cs="Open Sans"/>
        </w:rPr>
        <w:t>I</w:t>
      </w:r>
      <w:r w:rsidR="00C74206">
        <w:rPr>
          <w:rFonts w:cs="Open Sans"/>
        </w:rPr>
        <w:t>nvestment related (Providing retail investment or pension advice)</w:t>
      </w:r>
    </w:p>
    <w:p w14:paraId="56760BA5" w14:textId="4C6F5D94" w:rsidR="00901087" w:rsidRDefault="00901087" w:rsidP="006839B9">
      <w:pPr>
        <w:pStyle w:val="ListParagraph"/>
        <w:numPr>
          <w:ilvl w:val="0"/>
          <w:numId w:val="3"/>
        </w:numPr>
        <w:ind w:left="426"/>
        <w:rPr>
          <w:rFonts w:cs="Open Sans"/>
          <w:color w:val="FF0000"/>
        </w:rPr>
      </w:pPr>
      <w:r w:rsidRPr="00901087">
        <w:rPr>
          <w:rFonts w:cs="Open Sans"/>
          <w:color w:val="FF0000"/>
        </w:rPr>
        <w:t>Mortgage</w:t>
      </w:r>
      <w:r w:rsidR="00C74206">
        <w:rPr>
          <w:rFonts w:cs="Open Sans"/>
          <w:color w:val="FF0000"/>
        </w:rPr>
        <w:t xml:space="preserve"> related (Advising, arranging (bringing about) regulated mortgage contracts)</w:t>
      </w:r>
    </w:p>
    <w:p w14:paraId="4A53A136" w14:textId="7A8F4470" w:rsidR="00C74206" w:rsidRDefault="00C74206" w:rsidP="006839B9">
      <w:pPr>
        <w:pStyle w:val="ListParagraph"/>
        <w:numPr>
          <w:ilvl w:val="0"/>
          <w:numId w:val="3"/>
        </w:numPr>
        <w:ind w:left="426"/>
        <w:rPr>
          <w:rFonts w:cs="Open Sans"/>
          <w:color w:val="FF0000"/>
        </w:rPr>
      </w:pPr>
      <w:r>
        <w:rPr>
          <w:rFonts w:cs="Open Sans"/>
          <w:color w:val="FF0000"/>
        </w:rPr>
        <w:t>Non-investment related (non-investment insurance activities)</w:t>
      </w:r>
    </w:p>
    <w:p w14:paraId="01C2E1AF" w14:textId="7D749A3C" w:rsidR="00D32A79" w:rsidRPr="00E956EC" w:rsidRDefault="00C74206" w:rsidP="006839B9">
      <w:pPr>
        <w:pStyle w:val="ListParagraph"/>
        <w:numPr>
          <w:ilvl w:val="0"/>
          <w:numId w:val="3"/>
        </w:numPr>
        <w:ind w:left="426"/>
        <w:rPr>
          <w:rFonts w:cs="Open Sans"/>
          <w:color w:val="FF0000"/>
        </w:rPr>
      </w:pPr>
      <w:r>
        <w:rPr>
          <w:rFonts w:cs="Open Sans"/>
          <w:color w:val="FF0000"/>
        </w:rPr>
        <w:t>Supervisory (Supervisors of individuals active in the above areas)</w:t>
      </w:r>
    </w:p>
    <w:p w14:paraId="2C045B02" w14:textId="4F068227" w:rsidR="006B78C2" w:rsidRPr="000F487F" w:rsidRDefault="006B78C2" w:rsidP="00D32A79">
      <w:pPr>
        <w:pStyle w:val="Heading1"/>
        <w:rPr>
          <w:color w:val="auto"/>
        </w:rPr>
      </w:pPr>
      <w:bookmarkStart w:id="3" w:name="_Toc199838620"/>
      <w:r w:rsidRPr="000F487F">
        <w:rPr>
          <w:color w:val="auto"/>
        </w:rPr>
        <w:t>Oversight and Governance</w:t>
      </w:r>
      <w:bookmarkEnd w:id="3"/>
    </w:p>
    <w:p w14:paraId="6C6EDD8F" w14:textId="7134579A" w:rsidR="006B78C2" w:rsidRPr="006B78C2" w:rsidRDefault="006B78C2" w:rsidP="006B78C2">
      <w:r w:rsidRPr="006B78C2">
        <w:t xml:space="preserve">Overall responsibility for the Training &amp; Competence policy rests with </w:t>
      </w:r>
      <w:r w:rsidRPr="006B78C2">
        <w:rPr>
          <w:color w:val="FF0000"/>
        </w:rPr>
        <w:t>[NAME of relevant SMF]</w:t>
      </w:r>
      <w:r w:rsidRPr="006B78C2">
        <w:t>, who ensure</w:t>
      </w:r>
      <w:r>
        <w:t>s</w:t>
      </w:r>
      <w:r w:rsidRPr="006B78C2">
        <w:t xml:space="preserve"> it aligns with regulatory expectations and supports the firm’s strategic objectives.</w:t>
      </w:r>
    </w:p>
    <w:p w14:paraId="7436A35E" w14:textId="6E685D9D" w:rsidR="006B78C2" w:rsidRPr="006B78C2" w:rsidRDefault="006B78C2" w:rsidP="006B78C2">
      <w:r w:rsidRPr="006B78C2">
        <w:rPr>
          <w:color w:val="FF0000"/>
        </w:rPr>
        <w:t xml:space="preserve">[NAME] </w:t>
      </w:r>
      <w:r w:rsidRPr="006B78C2">
        <w:t xml:space="preserve">is responsible for the day to day </w:t>
      </w:r>
      <w:r w:rsidR="00006ECD">
        <w:t>adviser supervis</w:t>
      </w:r>
      <w:r w:rsidR="003F4E3D">
        <w:t xml:space="preserve">ion, </w:t>
      </w:r>
      <w:proofErr w:type="gramStart"/>
      <w:r w:rsidRPr="006B78C2">
        <w:t>implementation</w:t>
      </w:r>
      <w:proofErr w:type="gramEnd"/>
      <w:r w:rsidRPr="006B78C2">
        <w:t xml:space="preserve"> and operation of the scheme, including maintaining records, coordinating supervision activity, and reporting progress or issues as needed.</w:t>
      </w:r>
    </w:p>
    <w:p w14:paraId="6F26470E" w14:textId="0E2A4028" w:rsidR="006B78C2" w:rsidRPr="006B78C2" w:rsidRDefault="006B78C2" w:rsidP="006B78C2">
      <w:r w:rsidRPr="006B78C2">
        <w:t xml:space="preserve">The T&amp;C scheme will </w:t>
      </w:r>
      <w:proofErr w:type="gramStart"/>
      <w:r w:rsidRPr="006B78C2">
        <w:t>be formally reviewed</w:t>
      </w:r>
      <w:proofErr w:type="gramEnd"/>
      <w:r w:rsidRPr="006B78C2">
        <w:t xml:space="preserve"> on an annual basis </w:t>
      </w:r>
      <w:r>
        <w:t xml:space="preserve">by </w:t>
      </w:r>
      <w:r w:rsidRPr="006B78C2">
        <w:rPr>
          <w:color w:val="FF0000"/>
        </w:rPr>
        <w:t xml:space="preserve">[NAME] </w:t>
      </w:r>
      <w:r w:rsidRPr="006B78C2">
        <w:t xml:space="preserve">to ensure its continued effectiveness, relevance, and regulatory alignment. Interim updates may </w:t>
      </w:r>
      <w:proofErr w:type="gramStart"/>
      <w:r w:rsidRPr="006B78C2">
        <w:t>be made</w:t>
      </w:r>
      <w:proofErr w:type="gramEnd"/>
      <w:r w:rsidRPr="006B78C2">
        <w:t xml:space="preserve"> where there are material changes to regulatory requirements, internal processes, or business structure.</w:t>
      </w:r>
    </w:p>
    <w:p w14:paraId="31DDC71C" w14:textId="42159A14" w:rsidR="005D6E3D" w:rsidRPr="000F487F" w:rsidRDefault="005D6E3D" w:rsidP="005D6E3D">
      <w:pPr>
        <w:pStyle w:val="Heading1"/>
        <w:rPr>
          <w:color w:val="auto"/>
        </w:rPr>
      </w:pPr>
      <w:bookmarkStart w:id="4" w:name="_Toc199838621"/>
      <w:r w:rsidRPr="000F487F">
        <w:rPr>
          <w:color w:val="auto"/>
        </w:rPr>
        <w:t>Conduct Expectations</w:t>
      </w:r>
      <w:bookmarkEnd w:id="4"/>
    </w:p>
    <w:p w14:paraId="768E2BA2" w14:textId="34AF4029" w:rsidR="005D6E3D" w:rsidRDefault="005D6E3D" w:rsidP="005D6E3D">
      <w:r w:rsidRPr="005D6E3D">
        <w:t xml:space="preserve">All employees </w:t>
      </w:r>
      <w:proofErr w:type="gramStart"/>
      <w:r w:rsidRPr="005D6E3D">
        <w:t>are expected</w:t>
      </w:r>
      <w:proofErr w:type="gramEnd"/>
      <w:r w:rsidRPr="005D6E3D">
        <w:t xml:space="preserve"> to uphold the highest standards of integrity, professionalism, and ethical conduct in the performance of their duties. This is fundamental not only to </w:t>
      </w:r>
      <w:r w:rsidRPr="005D6E3D">
        <w:lastRenderedPageBreak/>
        <w:t>maintaining trust with our clients and colleagues but also to meeting our regulatory obligations as a firm authorised and regulated by the FCA.</w:t>
      </w:r>
    </w:p>
    <w:p w14:paraId="3FFBE23B" w14:textId="77777777" w:rsidR="005D6E3D" w:rsidRPr="005D6E3D" w:rsidRDefault="005D6E3D" w:rsidP="005D6E3D"/>
    <w:p w14:paraId="472CD98A" w14:textId="77777777" w:rsidR="005D6E3D" w:rsidRDefault="005D6E3D" w:rsidP="005D6E3D">
      <w:r w:rsidRPr="005D6E3D">
        <w:t>We expect all staff to operate in an open and honest manner, take responsibility for their actions, and raise concerns where they believe something may be unethical, non-compliant, or harmful to client outcomes. These expectations apply regardless of seniority or role within the business.</w:t>
      </w:r>
    </w:p>
    <w:p w14:paraId="1BC1ACB1" w14:textId="77777777" w:rsidR="005D6E3D" w:rsidRPr="005D6E3D" w:rsidRDefault="005D6E3D" w:rsidP="005D6E3D"/>
    <w:p w14:paraId="1EA26E5C" w14:textId="77777777" w:rsidR="005D6E3D" w:rsidRPr="005D6E3D" w:rsidRDefault="005D6E3D" w:rsidP="005D6E3D">
      <w:pPr>
        <w:rPr>
          <w:b/>
          <w:bCs/>
        </w:rPr>
      </w:pPr>
      <w:r w:rsidRPr="005D6E3D">
        <w:rPr>
          <w:b/>
          <w:bCs/>
        </w:rPr>
        <w:t>FCA Individual Conduct Rules</w:t>
      </w:r>
    </w:p>
    <w:p w14:paraId="58707020" w14:textId="77777777" w:rsidR="005D6E3D" w:rsidRPr="005D6E3D" w:rsidRDefault="005D6E3D" w:rsidP="005D6E3D">
      <w:r w:rsidRPr="005D6E3D">
        <w:t>The FCA’s Conduct Rules (COCON 2.1) apply to most employees and set a baseline for expected behaviour. All relevant individuals must:</w:t>
      </w:r>
    </w:p>
    <w:p w14:paraId="6C8A5802" w14:textId="77777777" w:rsidR="005D6E3D" w:rsidRPr="005D6E3D" w:rsidRDefault="005D6E3D" w:rsidP="006839B9">
      <w:pPr>
        <w:numPr>
          <w:ilvl w:val="0"/>
          <w:numId w:val="5"/>
        </w:numPr>
      </w:pPr>
      <w:r w:rsidRPr="005D6E3D">
        <w:rPr>
          <w:b/>
          <w:bCs/>
        </w:rPr>
        <w:t>Act with integrity</w:t>
      </w:r>
    </w:p>
    <w:p w14:paraId="125F4382" w14:textId="77777777" w:rsidR="005D6E3D" w:rsidRPr="005D6E3D" w:rsidRDefault="005D6E3D" w:rsidP="006839B9">
      <w:pPr>
        <w:numPr>
          <w:ilvl w:val="0"/>
          <w:numId w:val="5"/>
        </w:numPr>
      </w:pPr>
      <w:r w:rsidRPr="005D6E3D">
        <w:rPr>
          <w:b/>
          <w:bCs/>
        </w:rPr>
        <w:t xml:space="preserve">Act with due skill, </w:t>
      </w:r>
      <w:proofErr w:type="gramStart"/>
      <w:r w:rsidRPr="005D6E3D">
        <w:rPr>
          <w:b/>
          <w:bCs/>
        </w:rPr>
        <w:t>care</w:t>
      </w:r>
      <w:proofErr w:type="gramEnd"/>
      <w:r w:rsidRPr="005D6E3D">
        <w:rPr>
          <w:b/>
          <w:bCs/>
        </w:rPr>
        <w:t xml:space="preserve"> and diligence</w:t>
      </w:r>
    </w:p>
    <w:p w14:paraId="6BAD9296" w14:textId="77777777" w:rsidR="005D6E3D" w:rsidRPr="005D6E3D" w:rsidRDefault="005D6E3D" w:rsidP="006839B9">
      <w:pPr>
        <w:numPr>
          <w:ilvl w:val="0"/>
          <w:numId w:val="5"/>
        </w:numPr>
      </w:pPr>
      <w:r w:rsidRPr="005D6E3D">
        <w:rPr>
          <w:b/>
          <w:bCs/>
        </w:rPr>
        <w:t>Be open and cooperative with the FCA, the PRA and other regulators</w:t>
      </w:r>
    </w:p>
    <w:p w14:paraId="7CDD85D1" w14:textId="77777777" w:rsidR="005D6E3D" w:rsidRPr="005D6E3D" w:rsidRDefault="005D6E3D" w:rsidP="006839B9">
      <w:pPr>
        <w:numPr>
          <w:ilvl w:val="0"/>
          <w:numId w:val="5"/>
        </w:numPr>
      </w:pPr>
      <w:r w:rsidRPr="005D6E3D">
        <w:rPr>
          <w:b/>
          <w:bCs/>
        </w:rPr>
        <w:t>Pay due regard to the interests of customers and treat them fairly</w:t>
      </w:r>
    </w:p>
    <w:p w14:paraId="5963908B" w14:textId="77777777" w:rsidR="005D6E3D" w:rsidRPr="005D6E3D" w:rsidRDefault="005D6E3D" w:rsidP="006839B9">
      <w:pPr>
        <w:numPr>
          <w:ilvl w:val="0"/>
          <w:numId w:val="5"/>
        </w:numPr>
      </w:pPr>
      <w:r w:rsidRPr="005D6E3D">
        <w:rPr>
          <w:b/>
          <w:bCs/>
        </w:rPr>
        <w:t>Observe proper standards of market conduct</w:t>
      </w:r>
    </w:p>
    <w:p w14:paraId="684809CE" w14:textId="77777777" w:rsidR="005D6E3D" w:rsidRPr="005D6E3D" w:rsidRDefault="005D6E3D" w:rsidP="005D6E3D">
      <w:pPr>
        <w:ind w:left="720"/>
      </w:pPr>
    </w:p>
    <w:p w14:paraId="5BAD1ACE" w14:textId="77777777" w:rsidR="005D6E3D" w:rsidRDefault="005D6E3D" w:rsidP="005D6E3D">
      <w:r w:rsidRPr="005D6E3D">
        <w:t xml:space="preserve">These rules are a core part of the Training &amp; Competence framework and must </w:t>
      </w:r>
      <w:proofErr w:type="gramStart"/>
      <w:r w:rsidRPr="005D6E3D">
        <w:t>be understood</w:t>
      </w:r>
      <w:proofErr w:type="gramEnd"/>
      <w:r w:rsidRPr="005D6E3D">
        <w:t xml:space="preserve">, adhered to, and embedded into daily behaviours. Breaches of the Conduct Rules will </w:t>
      </w:r>
      <w:proofErr w:type="gramStart"/>
      <w:r w:rsidRPr="005D6E3D">
        <w:t>be taken</w:t>
      </w:r>
      <w:proofErr w:type="gramEnd"/>
      <w:r w:rsidRPr="005D6E3D">
        <w:t xml:space="preserve"> seriously and may result in disciplinary action or regulatory notification where appropriate.</w:t>
      </w:r>
    </w:p>
    <w:p w14:paraId="40050B11" w14:textId="77777777" w:rsidR="005D6E3D" w:rsidRPr="005D6E3D" w:rsidRDefault="005D6E3D" w:rsidP="005D6E3D"/>
    <w:p w14:paraId="1AEA49C6" w14:textId="77777777" w:rsidR="005D6E3D" w:rsidRPr="005D6E3D" w:rsidRDefault="005D6E3D" w:rsidP="005D6E3D">
      <w:pPr>
        <w:rPr>
          <w:b/>
          <w:bCs/>
        </w:rPr>
      </w:pPr>
      <w:r w:rsidRPr="005D6E3D">
        <w:rPr>
          <w:b/>
          <w:bCs/>
        </w:rPr>
        <w:t>Culture of Accountability and Transparency</w:t>
      </w:r>
    </w:p>
    <w:p w14:paraId="291CEADA" w14:textId="77777777" w:rsidR="005D6E3D" w:rsidRPr="005D6E3D" w:rsidRDefault="005D6E3D" w:rsidP="005D6E3D">
      <w:r w:rsidRPr="005D6E3D">
        <w:t>We encourage a culture where individuals feel empowered to speak up, ask questions, and share concerns without fear of negative consequences. Operating in an open and honest way supports the firm’s wider governance responsibilities, contributes to good client outcomes, and strengthens our compliance with the FCA’s Senior Managers &amp;</w:t>
      </w:r>
      <w:r w:rsidRPr="005D6E3D">
        <w:rPr>
          <w:b/>
          <w:bCs/>
        </w:rPr>
        <w:t xml:space="preserve"> </w:t>
      </w:r>
      <w:r w:rsidRPr="005D6E3D">
        <w:t>Certification Regime and Consumer Duty.</w:t>
      </w:r>
    </w:p>
    <w:p w14:paraId="556A7055" w14:textId="77777777" w:rsidR="005D6E3D" w:rsidRPr="005D6E3D" w:rsidRDefault="005D6E3D" w:rsidP="005D6E3D">
      <w:r w:rsidRPr="005D6E3D">
        <w:t xml:space="preserve">All staff will receive initial and ongoing training on the Conduct Rules, and their application will </w:t>
      </w:r>
      <w:proofErr w:type="gramStart"/>
      <w:r w:rsidRPr="005D6E3D">
        <w:t>be assessed</w:t>
      </w:r>
      <w:proofErr w:type="gramEnd"/>
      <w:r w:rsidRPr="005D6E3D">
        <w:t xml:space="preserve"> as part of our competence monitoring processes.</w:t>
      </w:r>
    </w:p>
    <w:p w14:paraId="7E4D4EB1" w14:textId="77777777" w:rsidR="0070709E" w:rsidRDefault="0070709E" w:rsidP="005D6E3D"/>
    <w:p w14:paraId="697F0D89" w14:textId="16BD59C2" w:rsidR="0070709E" w:rsidRPr="0070709E" w:rsidRDefault="0070709E" w:rsidP="0070709E">
      <w:pPr>
        <w:rPr>
          <w:b/>
          <w:bCs/>
        </w:rPr>
      </w:pPr>
      <w:r w:rsidRPr="0070709E">
        <w:rPr>
          <w:b/>
          <w:bCs/>
        </w:rPr>
        <w:t>Consumer Duty</w:t>
      </w:r>
      <w:r>
        <w:rPr>
          <w:b/>
          <w:bCs/>
        </w:rPr>
        <w:t xml:space="preserve"> &amp;</w:t>
      </w:r>
      <w:r w:rsidRPr="0070709E">
        <w:rPr>
          <w:b/>
          <w:bCs/>
        </w:rPr>
        <w:t xml:space="preserve"> Embedding Client Outcomes into Conduct</w:t>
      </w:r>
    </w:p>
    <w:p w14:paraId="4A372912" w14:textId="77777777" w:rsidR="0070709E" w:rsidRPr="0070709E" w:rsidRDefault="0070709E" w:rsidP="0070709E">
      <w:r w:rsidRPr="0070709E">
        <w:t xml:space="preserve">Where our firm’s activities fall within the scope of the </w:t>
      </w:r>
      <w:r w:rsidRPr="0070709E">
        <w:rPr>
          <w:b/>
          <w:bCs/>
        </w:rPr>
        <w:t>Consumer Duty</w:t>
      </w:r>
      <w:r w:rsidRPr="0070709E">
        <w:t xml:space="preserve">, staff </w:t>
      </w:r>
      <w:proofErr w:type="gramStart"/>
      <w:r w:rsidRPr="0070709E">
        <w:t>are additionally required</w:t>
      </w:r>
      <w:proofErr w:type="gramEnd"/>
      <w:r w:rsidRPr="0070709E">
        <w:t xml:space="preserve"> to demonstrate behaviours that support the overarching principle:</w:t>
      </w:r>
    </w:p>
    <w:p w14:paraId="412F6B62" w14:textId="77777777" w:rsidR="0070709E" w:rsidRDefault="0070709E" w:rsidP="0070709E">
      <w:r w:rsidRPr="0070709E">
        <w:t>“A firm must act to deliver good outcomes for retail customers.”</w:t>
      </w:r>
    </w:p>
    <w:p w14:paraId="386EFAA6" w14:textId="77777777" w:rsidR="0070709E" w:rsidRPr="0070709E" w:rsidRDefault="0070709E" w:rsidP="0070709E"/>
    <w:p w14:paraId="53377241" w14:textId="77777777" w:rsidR="0070709E" w:rsidRPr="0070709E" w:rsidRDefault="0070709E" w:rsidP="0070709E">
      <w:r w:rsidRPr="0070709E">
        <w:t xml:space="preserve">To reflect this, all Conduct Rules staff </w:t>
      </w:r>
      <w:proofErr w:type="gramStart"/>
      <w:r w:rsidRPr="0070709E">
        <w:t>are expected</w:t>
      </w:r>
      <w:proofErr w:type="gramEnd"/>
      <w:r w:rsidRPr="0070709E">
        <w:t xml:space="preserve"> to:</w:t>
      </w:r>
    </w:p>
    <w:p w14:paraId="112717C9" w14:textId="77777777" w:rsidR="0070709E" w:rsidRPr="0070709E" w:rsidRDefault="0070709E" w:rsidP="006839B9">
      <w:pPr>
        <w:numPr>
          <w:ilvl w:val="0"/>
          <w:numId w:val="6"/>
        </w:numPr>
      </w:pPr>
      <w:r w:rsidRPr="0070709E">
        <w:lastRenderedPageBreak/>
        <w:t>Act with honesty and fairness in all interactions with retail customers</w:t>
      </w:r>
    </w:p>
    <w:p w14:paraId="23C82A47" w14:textId="77777777" w:rsidR="0070709E" w:rsidRPr="0070709E" w:rsidRDefault="0070709E" w:rsidP="006839B9">
      <w:pPr>
        <w:numPr>
          <w:ilvl w:val="0"/>
          <w:numId w:val="6"/>
        </w:numPr>
      </w:pPr>
      <w:r w:rsidRPr="0070709E">
        <w:t>Avoid actions or omissions that could cause foreseeable harm</w:t>
      </w:r>
    </w:p>
    <w:p w14:paraId="510A985E" w14:textId="77777777" w:rsidR="0070709E" w:rsidRDefault="0070709E" w:rsidP="006839B9">
      <w:pPr>
        <w:numPr>
          <w:ilvl w:val="0"/>
          <w:numId w:val="6"/>
        </w:numPr>
      </w:pPr>
      <w:r w:rsidRPr="0070709E">
        <w:t>Take personal responsibility to support customers in achieving their financial objectives</w:t>
      </w:r>
    </w:p>
    <w:p w14:paraId="568CE84D" w14:textId="77777777" w:rsidR="0070709E" w:rsidRPr="0070709E" w:rsidRDefault="0070709E" w:rsidP="0070709E">
      <w:pPr>
        <w:ind w:left="720"/>
      </w:pPr>
    </w:p>
    <w:p w14:paraId="1E843F4B" w14:textId="674387EC" w:rsidR="0070709E" w:rsidRPr="0070709E" w:rsidRDefault="0070709E" w:rsidP="0070709E">
      <w:r w:rsidRPr="0070709E">
        <w:t xml:space="preserve">These expectations complement and extend the FCA’s original Conduct Rules and must </w:t>
      </w:r>
      <w:proofErr w:type="gramStart"/>
      <w:r w:rsidRPr="0070709E">
        <w:t>be applied</w:t>
      </w:r>
      <w:proofErr w:type="gramEnd"/>
      <w:r w:rsidRPr="0070709E">
        <w:t xml:space="preserve"> in day</w:t>
      </w:r>
      <w:r>
        <w:t xml:space="preserve"> </w:t>
      </w:r>
      <w:r w:rsidRPr="0070709E">
        <w:t>to</w:t>
      </w:r>
      <w:r>
        <w:t xml:space="preserve"> </w:t>
      </w:r>
      <w:r w:rsidRPr="0070709E">
        <w:t>day decision</w:t>
      </w:r>
      <w:r>
        <w:t xml:space="preserve"> </w:t>
      </w:r>
      <w:r w:rsidRPr="0070709E">
        <w:t>making, communication, and service delivery.</w:t>
      </w:r>
    </w:p>
    <w:p w14:paraId="527CDE5C" w14:textId="77777777" w:rsidR="0070709E" w:rsidRDefault="0070709E" w:rsidP="0070709E">
      <w:r w:rsidRPr="0070709E">
        <w:t xml:space="preserve">All staff receive initial training on the Consumer Duty as part of their onboarding, including the Consumer Principle, the three cross-cutting rules, and the four outcomes. Refresher training </w:t>
      </w:r>
      <w:proofErr w:type="gramStart"/>
      <w:r w:rsidRPr="0070709E">
        <w:t>is delivered</w:t>
      </w:r>
      <w:proofErr w:type="gramEnd"/>
      <w:r w:rsidRPr="0070709E">
        <w:t xml:space="preserve"> annually, and records </w:t>
      </w:r>
      <w:proofErr w:type="gramStart"/>
      <w:r w:rsidRPr="0070709E">
        <w:t>are maintained</w:t>
      </w:r>
      <w:proofErr w:type="gramEnd"/>
      <w:r w:rsidRPr="0070709E">
        <w:t xml:space="preserve"> to evidence ongoing awareness and compliance.</w:t>
      </w:r>
    </w:p>
    <w:p w14:paraId="73365862" w14:textId="77777777" w:rsidR="0070709E" w:rsidRPr="0070709E" w:rsidRDefault="0070709E" w:rsidP="0070709E"/>
    <w:p w14:paraId="1B6B5F84" w14:textId="77777777" w:rsidR="0070709E" w:rsidRPr="0070709E" w:rsidRDefault="0070709E" w:rsidP="0070709E">
      <w:r w:rsidRPr="0070709E">
        <w:t xml:space="preserve">Each year, all staff </w:t>
      </w:r>
      <w:proofErr w:type="gramStart"/>
      <w:r w:rsidRPr="0070709E">
        <w:t>are required</w:t>
      </w:r>
      <w:proofErr w:type="gramEnd"/>
      <w:r w:rsidRPr="0070709E">
        <w:t xml:space="preserve"> to complete a staff declaration confirming their understanding of the Conduct Rules and their responsibilities under the Consumer Duty. This </w:t>
      </w:r>
      <w:proofErr w:type="gramStart"/>
      <w:r w:rsidRPr="0070709E">
        <w:t>is collected</w:t>
      </w:r>
      <w:proofErr w:type="gramEnd"/>
      <w:r w:rsidRPr="0070709E">
        <w:t xml:space="preserve"> during </w:t>
      </w:r>
      <w:r w:rsidRPr="0070709E">
        <w:rPr>
          <w:color w:val="FF0000"/>
        </w:rPr>
        <w:t xml:space="preserve">[insert preferred month or process, e.g. January as part of the annual T&amp;C cycle]. </w:t>
      </w:r>
      <w:r w:rsidRPr="0070709E">
        <w:t>The process ensures continued accountability and supports our governance obligations under the Senior Managers &amp; Certification Regime.</w:t>
      </w:r>
    </w:p>
    <w:p w14:paraId="22A8FCEB" w14:textId="32FF404E" w:rsidR="004329EC" w:rsidRPr="004329EC" w:rsidRDefault="0070709E" w:rsidP="00D32A79">
      <w:r w:rsidRPr="0070709E">
        <w:rPr>
          <w:color w:val="FF0000"/>
        </w:rPr>
        <w:t>[Insert name and role of Senior Manager, e.g. Compliance Director or SMF16]</w:t>
      </w:r>
      <w:r w:rsidRPr="0070709E">
        <w:t xml:space="preserve"> is responsible for ensuring that training on Conduct Rules and Consumer Duty obligations </w:t>
      </w:r>
      <w:proofErr w:type="gramStart"/>
      <w:r w:rsidRPr="0070709E">
        <w:t>is appropriately delivered</w:t>
      </w:r>
      <w:proofErr w:type="gramEnd"/>
      <w:r w:rsidRPr="0070709E">
        <w:t xml:space="preserve"> and embedded throughout the firm.</w:t>
      </w:r>
    </w:p>
    <w:p w14:paraId="4BDA69BF" w14:textId="5E35FE68" w:rsidR="00D32A79" w:rsidRPr="000F487F" w:rsidRDefault="00D32A79" w:rsidP="00D32A79">
      <w:pPr>
        <w:pStyle w:val="Heading1"/>
        <w:rPr>
          <w:color w:val="auto"/>
        </w:rPr>
      </w:pPr>
      <w:bookmarkStart w:id="5" w:name="_Toc199838622"/>
      <w:r w:rsidRPr="000F487F">
        <w:rPr>
          <w:color w:val="auto"/>
        </w:rPr>
        <w:t>Authorit</w:t>
      </w:r>
      <w:r w:rsidR="0070709E" w:rsidRPr="000F487F">
        <w:rPr>
          <w:color w:val="auto"/>
        </w:rPr>
        <w:t>ies and Permissions</w:t>
      </w:r>
      <w:bookmarkEnd w:id="5"/>
      <w:r w:rsidRPr="000F487F">
        <w:rPr>
          <w:color w:val="auto"/>
        </w:rPr>
        <w:t xml:space="preserve"> </w:t>
      </w:r>
    </w:p>
    <w:p w14:paraId="23A7EC84" w14:textId="362FDB1D" w:rsidR="004329EC" w:rsidRDefault="004329EC" w:rsidP="004329EC">
      <w:r w:rsidRPr="004329EC">
        <w:t xml:space="preserve">As part of our obligations under the Senior Managers and Certification Regime, the firm </w:t>
      </w:r>
      <w:proofErr w:type="gramStart"/>
      <w:r w:rsidRPr="004329EC">
        <w:t>is required</w:t>
      </w:r>
      <w:proofErr w:type="gramEnd"/>
      <w:r w:rsidRPr="004329EC">
        <w:t xml:space="preserve"> to certify that individuals performing certain roles </w:t>
      </w:r>
      <w:proofErr w:type="gramStart"/>
      <w:r w:rsidRPr="004329EC">
        <w:t>are fit</w:t>
      </w:r>
      <w:proofErr w:type="gramEnd"/>
      <w:r w:rsidRPr="004329EC">
        <w:t xml:space="preserve"> and proper to do so. This applies to employees who are not Senior </w:t>
      </w:r>
      <w:proofErr w:type="gramStart"/>
      <w:r w:rsidRPr="004329EC">
        <w:t>Managers</w:t>
      </w:r>
      <w:proofErr w:type="gramEnd"/>
      <w:r w:rsidRPr="004329EC">
        <w:t xml:space="preserve"> but whose roles have a significant impact on customers, the firm, or market integrity</w:t>
      </w:r>
      <w:r>
        <w:t>. These are</w:t>
      </w:r>
      <w:r w:rsidRPr="004329EC">
        <w:t xml:space="preserve"> known as Certification Functions.</w:t>
      </w:r>
    </w:p>
    <w:p w14:paraId="42281BA2" w14:textId="77777777" w:rsidR="004329EC" w:rsidRPr="004329EC" w:rsidRDefault="004329EC" w:rsidP="004329EC"/>
    <w:p w14:paraId="7C293793" w14:textId="77777777" w:rsidR="004329EC" w:rsidRPr="004329EC" w:rsidRDefault="004329EC" w:rsidP="004329EC">
      <w:pPr>
        <w:rPr>
          <w:b/>
          <w:bCs/>
        </w:rPr>
      </w:pPr>
      <w:r w:rsidRPr="004329EC">
        <w:rPr>
          <w:b/>
          <w:bCs/>
        </w:rPr>
        <w:t>Certification Requirement</w:t>
      </w:r>
    </w:p>
    <w:p w14:paraId="54460860" w14:textId="77777777" w:rsidR="004329EC" w:rsidRPr="004329EC" w:rsidRDefault="004329EC" w:rsidP="004329EC">
      <w:r w:rsidRPr="004329EC">
        <w:t>We must assess and confirm that each certified individual:</w:t>
      </w:r>
    </w:p>
    <w:p w14:paraId="1DBC1C06" w14:textId="77777777" w:rsidR="004329EC" w:rsidRPr="004329EC" w:rsidRDefault="004329EC" w:rsidP="006839B9">
      <w:pPr>
        <w:numPr>
          <w:ilvl w:val="0"/>
          <w:numId w:val="7"/>
        </w:numPr>
      </w:pPr>
      <w:r w:rsidRPr="004329EC">
        <w:t>Has the necessary skills, knowledge, and experience to perform their role effectively</w:t>
      </w:r>
    </w:p>
    <w:p w14:paraId="548BE127" w14:textId="77777777" w:rsidR="004329EC" w:rsidRPr="004329EC" w:rsidRDefault="004329EC" w:rsidP="006839B9">
      <w:pPr>
        <w:numPr>
          <w:ilvl w:val="0"/>
          <w:numId w:val="7"/>
        </w:numPr>
      </w:pPr>
      <w:r w:rsidRPr="004329EC">
        <w:t>Maintains a record of good conduct and ethical behaviour</w:t>
      </w:r>
    </w:p>
    <w:p w14:paraId="1549803E" w14:textId="77777777" w:rsidR="004329EC" w:rsidRDefault="004329EC" w:rsidP="006839B9">
      <w:pPr>
        <w:numPr>
          <w:ilvl w:val="0"/>
          <w:numId w:val="7"/>
        </w:numPr>
      </w:pPr>
      <w:r w:rsidRPr="004329EC">
        <w:t>Is financially sound and poses no risk to the integrity of the firm or its clients</w:t>
      </w:r>
    </w:p>
    <w:p w14:paraId="2EEC92A9" w14:textId="77777777" w:rsidR="004329EC" w:rsidRPr="004329EC" w:rsidRDefault="004329EC" w:rsidP="004329EC">
      <w:pPr>
        <w:ind w:left="720"/>
      </w:pPr>
    </w:p>
    <w:p w14:paraId="3FC993A7" w14:textId="77777777" w:rsidR="004329EC" w:rsidRDefault="004329EC" w:rsidP="004329EC">
      <w:r w:rsidRPr="004329EC">
        <w:lastRenderedPageBreak/>
        <w:t xml:space="preserve">This certification is a regulatory requirement under SYSC 27 of the FCA Handbook, and the firm cannot permit an individual to perform a Certification Function without having </w:t>
      </w:r>
      <w:proofErr w:type="gramStart"/>
      <w:r w:rsidRPr="004329EC">
        <w:t>been formally certified</w:t>
      </w:r>
      <w:proofErr w:type="gramEnd"/>
      <w:r w:rsidRPr="004329EC">
        <w:t xml:space="preserve"> as fit and proper.</w:t>
      </w:r>
    </w:p>
    <w:p w14:paraId="0EFA182E" w14:textId="77777777" w:rsidR="004329EC" w:rsidRPr="004329EC" w:rsidRDefault="004329EC" w:rsidP="004329EC"/>
    <w:p w14:paraId="3332524C" w14:textId="77777777" w:rsidR="004329EC" w:rsidRPr="004329EC" w:rsidRDefault="004329EC" w:rsidP="004329EC">
      <w:pPr>
        <w:rPr>
          <w:b/>
          <w:bCs/>
        </w:rPr>
      </w:pPr>
      <w:r w:rsidRPr="004329EC">
        <w:rPr>
          <w:b/>
          <w:bCs/>
        </w:rPr>
        <w:t>Assessment Process</w:t>
      </w:r>
    </w:p>
    <w:p w14:paraId="2C8C0547" w14:textId="77777777" w:rsidR="004329EC" w:rsidRPr="004329EC" w:rsidRDefault="004329EC" w:rsidP="004329EC">
      <w:r w:rsidRPr="004329EC">
        <w:t>Each year, the firm will undertake a structured Fit and Proper Assessment for all certified staff. This assessment draws on a range of inputs, including:</w:t>
      </w:r>
    </w:p>
    <w:p w14:paraId="12B33C34" w14:textId="77777777" w:rsidR="004329EC" w:rsidRPr="004329EC" w:rsidRDefault="004329EC" w:rsidP="006839B9">
      <w:pPr>
        <w:numPr>
          <w:ilvl w:val="0"/>
          <w:numId w:val="8"/>
        </w:numPr>
      </w:pPr>
      <w:r w:rsidRPr="004329EC">
        <w:t>Performance reviews and supervisory observations</w:t>
      </w:r>
    </w:p>
    <w:p w14:paraId="01194E57" w14:textId="77777777" w:rsidR="004329EC" w:rsidRPr="004329EC" w:rsidRDefault="004329EC" w:rsidP="006839B9">
      <w:pPr>
        <w:numPr>
          <w:ilvl w:val="0"/>
          <w:numId w:val="8"/>
        </w:numPr>
      </w:pPr>
      <w:r w:rsidRPr="004329EC">
        <w:t>Results of Training &amp; Competence assessments</w:t>
      </w:r>
    </w:p>
    <w:p w14:paraId="42DF22F7" w14:textId="77777777" w:rsidR="004329EC" w:rsidRPr="004329EC" w:rsidRDefault="004329EC" w:rsidP="006839B9">
      <w:pPr>
        <w:numPr>
          <w:ilvl w:val="0"/>
          <w:numId w:val="8"/>
        </w:numPr>
      </w:pPr>
      <w:r w:rsidRPr="004329EC">
        <w:t>Breach or disciplinary records</w:t>
      </w:r>
    </w:p>
    <w:p w14:paraId="054D42E4" w14:textId="77777777" w:rsidR="004329EC" w:rsidRPr="004329EC" w:rsidRDefault="004329EC" w:rsidP="006839B9">
      <w:pPr>
        <w:numPr>
          <w:ilvl w:val="0"/>
          <w:numId w:val="8"/>
        </w:numPr>
      </w:pPr>
      <w:r w:rsidRPr="004329EC">
        <w:t>Any relevant customer feedback or complaints</w:t>
      </w:r>
    </w:p>
    <w:p w14:paraId="000BC5A7" w14:textId="77777777" w:rsidR="004329EC" w:rsidRPr="004329EC" w:rsidRDefault="004329EC" w:rsidP="006839B9">
      <w:pPr>
        <w:numPr>
          <w:ilvl w:val="0"/>
          <w:numId w:val="8"/>
        </w:numPr>
      </w:pPr>
      <w:r w:rsidRPr="004329EC">
        <w:t>Attestations confirming understanding of the Conduct Rules and, where applicable, Consumer Duty obligations</w:t>
      </w:r>
    </w:p>
    <w:p w14:paraId="5EAA3A35" w14:textId="77777777" w:rsidR="004329EC" w:rsidRDefault="004329EC" w:rsidP="006839B9">
      <w:pPr>
        <w:numPr>
          <w:ilvl w:val="0"/>
          <w:numId w:val="8"/>
        </w:numPr>
      </w:pPr>
      <w:r w:rsidRPr="004329EC">
        <w:t>Background and credit checks, where relevant</w:t>
      </w:r>
    </w:p>
    <w:p w14:paraId="29FEFA48" w14:textId="77777777" w:rsidR="004329EC" w:rsidRPr="004329EC" w:rsidRDefault="004329EC" w:rsidP="004329EC">
      <w:pPr>
        <w:ind w:left="720"/>
      </w:pPr>
    </w:p>
    <w:p w14:paraId="4387F958" w14:textId="77777777" w:rsidR="004329EC" w:rsidRDefault="004329EC" w:rsidP="004329EC">
      <w:r w:rsidRPr="004329EC">
        <w:t xml:space="preserve">Individuals </w:t>
      </w:r>
      <w:proofErr w:type="gramStart"/>
      <w:r w:rsidRPr="004329EC">
        <w:t>are required</w:t>
      </w:r>
      <w:proofErr w:type="gramEnd"/>
      <w:r w:rsidRPr="004329EC">
        <w:t xml:space="preserve"> to fully engage with this process and disclose any information that may affect their fitness and propriety.</w:t>
      </w:r>
    </w:p>
    <w:p w14:paraId="71E35134" w14:textId="77777777" w:rsidR="0017223A" w:rsidRDefault="0017223A" w:rsidP="004329EC"/>
    <w:p w14:paraId="31477BE2" w14:textId="3BB7B730" w:rsidR="0017223A" w:rsidRPr="0017223A" w:rsidRDefault="0017223A" w:rsidP="004329EC">
      <w:pPr>
        <w:rPr>
          <w:b/>
          <w:bCs/>
        </w:rPr>
      </w:pPr>
      <w:r w:rsidRPr="0017223A">
        <w:rPr>
          <w:b/>
          <w:bCs/>
        </w:rPr>
        <w:t>Staff declaration</w:t>
      </w:r>
    </w:p>
    <w:p w14:paraId="1FC924BA" w14:textId="5BA157A0" w:rsidR="0017223A" w:rsidRPr="0017223A" w:rsidRDefault="0017223A" w:rsidP="0017223A">
      <w:pPr>
        <w:pStyle w:val="30Tabletext"/>
        <w:rPr>
          <w:rFonts w:ascii="Open Sans" w:eastAsiaTheme="minorHAnsi" w:hAnsi="Open Sans" w:cstheme="minorBidi"/>
          <w:color w:val="auto"/>
          <w:lang w:val="en-GB" w:eastAsia="en-US"/>
        </w:rPr>
      </w:pPr>
      <w:r w:rsidRPr="0017223A">
        <w:rPr>
          <w:rFonts w:ascii="Open Sans" w:eastAsiaTheme="minorHAnsi" w:hAnsi="Open Sans" w:cstheme="minorBidi"/>
          <w:color w:val="auto"/>
          <w:lang w:val="en-GB" w:eastAsia="en-US"/>
        </w:rPr>
        <w:t>On an annual basis, we require all investment advisers to sign a declaration</w:t>
      </w:r>
      <w:r>
        <w:rPr>
          <w:rFonts w:ascii="Open Sans" w:eastAsiaTheme="minorHAnsi" w:hAnsi="Open Sans" w:cstheme="minorBidi"/>
          <w:color w:val="auto"/>
          <w:lang w:val="en-GB" w:eastAsia="en-US"/>
        </w:rPr>
        <w:t xml:space="preserve"> </w:t>
      </w:r>
      <w:r w:rsidRPr="0017223A">
        <w:rPr>
          <w:rFonts w:ascii="Open Sans" w:eastAsiaTheme="minorHAnsi" w:hAnsi="Open Sans" w:cstheme="minorBidi"/>
          <w:color w:val="auto"/>
          <w:lang w:val="en-GB" w:eastAsia="en-US"/>
        </w:rPr>
        <w:t>to confirm they have completed the required amount of CPD and complied with COCON in the preceding 12 months.</w:t>
      </w:r>
    </w:p>
    <w:p w14:paraId="0292B1FD" w14:textId="05F29DF4" w:rsidR="0017223A" w:rsidRPr="005E5C53" w:rsidRDefault="0017223A" w:rsidP="0017223A">
      <w:pPr>
        <w:pStyle w:val="30Tabletext"/>
        <w:rPr>
          <w:rFonts w:ascii="Open Sans" w:eastAsiaTheme="minorHAnsi" w:hAnsi="Open Sans" w:cstheme="minorBidi"/>
          <w:color w:val="auto"/>
          <w:sz w:val="20"/>
          <w:szCs w:val="20"/>
          <w:lang w:val="en-GB" w:eastAsia="en-US"/>
        </w:rPr>
      </w:pPr>
      <w:r w:rsidRPr="0017223A">
        <w:rPr>
          <w:rFonts w:ascii="Open Sans" w:eastAsiaTheme="minorHAnsi" w:hAnsi="Open Sans" w:cstheme="minorBidi"/>
          <w:color w:val="auto"/>
          <w:lang w:val="en-GB" w:eastAsia="en-US"/>
        </w:rPr>
        <w:t xml:space="preserve">If for any reason, an investment adviser cannot confirm they have met these requirements, we </w:t>
      </w:r>
      <w:r>
        <w:rPr>
          <w:rFonts w:ascii="Open Sans" w:eastAsiaTheme="minorHAnsi" w:hAnsi="Open Sans" w:cstheme="minorBidi"/>
          <w:color w:val="auto"/>
          <w:lang w:val="en-GB" w:eastAsia="en-US"/>
        </w:rPr>
        <w:t xml:space="preserve">will temporarily suspend their advising authorities until a meeting </w:t>
      </w:r>
      <w:r w:rsidR="005E5C53">
        <w:rPr>
          <w:rFonts w:ascii="Open Sans" w:eastAsiaTheme="minorHAnsi" w:hAnsi="Open Sans" w:cstheme="minorBidi"/>
          <w:color w:val="auto"/>
          <w:lang w:val="en-GB" w:eastAsia="en-US"/>
        </w:rPr>
        <w:t xml:space="preserve">with </w:t>
      </w:r>
      <w:r w:rsidR="005E5C53" w:rsidRPr="005E5C53">
        <w:rPr>
          <w:rFonts w:ascii="Open Sans" w:eastAsiaTheme="minorHAnsi" w:hAnsi="Open Sans" w:cstheme="minorBidi"/>
          <w:color w:val="FF0000"/>
          <w:lang w:val="en-GB" w:eastAsia="en-US"/>
        </w:rPr>
        <w:t>[Name]</w:t>
      </w:r>
      <w:r w:rsidR="005E5C53">
        <w:rPr>
          <w:rFonts w:ascii="Open Sans" w:eastAsiaTheme="minorHAnsi" w:hAnsi="Open Sans" w:cstheme="minorBidi"/>
          <w:color w:val="FF0000"/>
          <w:lang w:val="en-GB" w:eastAsia="en-US"/>
        </w:rPr>
        <w:t xml:space="preserve"> </w:t>
      </w:r>
      <w:r w:rsidR="005E5C53">
        <w:rPr>
          <w:rFonts w:ascii="Open Sans" w:eastAsiaTheme="minorHAnsi" w:hAnsi="Open Sans" w:cstheme="minorBidi"/>
          <w:color w:val="auto"/>
          <w:lang w:val="en-GB" w:eastAsia="en-US"/>
        </w:rPr>
        <w:t>has taken place</w:t>
      </w:r>
      <w:proofErr w:type="gramStart"/>
      <w:r w:rsidR="005E5C53">
        <w:rPr>
          <w:rFonts w:ascii="Open Sans" w:eastAsiaTheme="minorHAnsi" w:hAnsi="Open Sans" w:cstheme="minorBidi"/>
          <w:color w:val="auto"/>
          <w:lang w:val="en-GB" w:eastAsia="en-US"/>
        </w:rPr>
        <w:t xml:space="preserve">.  </w:t>
      </w:r>
      <w:proofErr w:type="gramEnd"/>
      <w:r w:rsidR="005E5C53">
        <w:rPr>
          <w:rFonts w:ascii="Open Sans" w:eastAsiaTheme="minorHAnsi" w:hAnsi="Open Sans" w:cstheme="minorBidi"/>
          <w:color w:val="auto"/>
          <w:lang w:val="en-GB" w:eastAsia="en-US"/>
        </w:rPr>
        <w:t xml:space="preserve">Following this meeting, permissions may </w:t>
      </w:r>
      <w:proofErr w:type="gramStart"/>
      <w:r w:rsidR="005E5C53">
        <w:rPr>
          <w:rFonts w:ascii="Open Sans" w:eastAsiaTheme="minorHAnsi" w:hAnsi="Open Sans" w:cstheme="minorBidi"/>
          <w:color w:val="auto"/>
          <w:lang w:val="en-GB" w:eastAsia="en-US"/>
        </w:rPr>
        <w:t>be restored</w:t>
      </w:r>
      <w:proofErr w:type="gramEnd"/>
      <w:r w:rsidR="005E5C53">
        <w:rPr>
          <w:rFonts w:ascii="Open Sans" w:eastAsiaTheme="minorHAnsi" w:hAnsi="Open Sans" w:cstheme="minorBidi"/>
          <w:color w:val="auto"/>
          <w:lang w:val="en-GB" w:eastAsia="en-US"/>
        </w:rPr>
        <w:t xml:space="preserve"> or further investigation required</w:t>
      </w:r>
      <w:proofErr w:type="gramStart"/>
      <w:r w:rsidR="005E5C53">
        <w:rPr>
          <w:rFonts w:ascii="Open Sans" w:eastAsiaTheme="minorHAnsi" w:hAnsi="Open Sans" w:cstheme="minorBidi"/>
          <w:color w:val="auto"/>
          <w:lang w:val="en-GB" w:eastAsia="en-US"/>
        </w:rPr>
        <w:t xml:space="preserve">.  </w:t>
      </w:r>
      <w:proofErr w:type="gramEnd"/>
      <w:r w:rsidR="005E5C53">
        <w:rPr>
          <w:rFonts w:ascii="Open Sans" w:eastAsiaTheme="minorHAnsi" w:hAnsi="Open Sans" w:cstheme="minorBidi"/>
          <w:color w:val="auto"/>
          <w:lang w:val="en-GB" w:eastAsia="en-US"/>
        </w:rPr>
        <w:t xml:space="preserve">If an individual’s fitness and propriety cannot </w:t>
      </w:r>
      <w:proofErr w:type="gramStart"/>
      <w:r w:rsidR="005E5C53">
        <w:rPr>
          <w:rFonts w:ascii="Open Sans" w:eastAsiaTheme="minorHAnsi" w:hAnsi="Open Sans" w:cstheme="minorBidi"/>
          <w:color w:val="auto"/>
          <w:lang w:val="en-GB" w:eastAsia="en-US"/>
        </w:rPr>
        <w:t>be confirmed</w:t>
      </w:r>
      <w:proofErr w:type="gramEnd"/>
      <w:r w:rsidR="005E5C53">
        <w:rPr>
          <w:rFonts w:ascii="Open Sans" w:eastAsiaTheme="minorHAnsi" w:hAnsi="Open Sans" w:cstheme="minorBidi"/>
          <w:color w:val="auto"/>
          <w:lang w:val="en-GB" w:eastAsia="en-US"/>
        </w:rPr>
        <w:t xml:space="preserve">, they will not </w:t>
      </w:r>
      <w:proofErr w:type="gramStart"/>
      <w:r w:rsidR="005E5C53">
        <w:rPr>
          <w:rFonts w:ascii="Open Sans" w:eastAsiaTheme="minorHAnsi" w:hAnsi="Open Sans" w:cstheme="minorBidi"/>
          <w:color w:val="auto"/>
          <w:lang w:val="en-GB" w:eastAsia="en-US"/>
        </w:rPr>
        <w:t>be allowed</w:t>
      </w:r>
      <w:proofErr w:type="gramEnd"/>
      <w:r w:rsidR="005E5C53">
        <w:rPr>
          <w:rFonts w:ascii="Open Sans" w:eastAsiaTheme="minorHAnsi" w:hAnsi="Open Sans" w:cstheme="minorBidi"/>
          <w:color w:val="auto"/>
          <w:lang w:val="en-GB" w:eastAsia="en-US"/>
        </w:rPr>
        <w:t xml:space="preserve"> to continue in an advisory role with our business.</w:t>
      </w:r>
    </w:p>
    <w:p w14:paraId="2F167378" w14:textId="77777777" w:rsidR="004329EC" w:rsidRPr="004329EC" w:rsidRDefault="004329EC" w:rsidP="004329EC"/>
    <w:p w14:paraId="52757045" w14:textId="77777777" w:rsidR="004329EC" w:rsidRPr="004329EC" w:rsidRDefault="004329EC" w:rsidP="004329EC">
      <w:pPr>
        <w:rPr>
          <w:b/>
          <w:bCs/>
        </w:rPr>
      </w:pPr>
      <w:r w:rsidRPr="004329EC">
        <w:rPr>
          <w:b/>
          <w:bCs/>
        </w:rPr>
        <w:t>Certification Frequency and Documentation</w:t>
      </w:r>
    </w:p>
    <w:p w14:paraId="7E60F5F5" w14:textId="77777777" w:rsidR="004329EC" w:rsidRPr="004329EC" w:rsidRDefault="004329EC" w:rsidP="004329EC">
      <w:r w:rsidRPr="004329EC">
        <w:t xml:space="preserve">Certification is </w:t>
      </w:r>
      <w:proofErr w:type="gramStart"/>
      <w:r w:rsidRPr="004329EC">
        <w:t>carried out</w:t>
      </w:r>
      <w:proofErr w:type="gramEnd"/>
      <w:r w:rsidRPr="004329EC">
        <w:t xml:space="preserve"> at least annually, with certificates issued for a maximum period of 12 months. The firm may also withdraw certification at any time if it becomes aware that an individual no longer meets the fit and proper requirements.</w:t>
      </w:r>
    </w:p>
    <w:p w14:paraId="68C8B19C" w14:textId="77777777" w:rsidR="004329EC" w:rsidRPr="004329EC" w:rsidRDefault="004329EC" w:rsidP="004329EC">
      <w:r w:rsidRPr="004329EC">
        <w:t xml:space="preserve">All certification records </w:t>
      </w:r>
      <w:proofErr w:type="gramStart"/>
      <w:r w:rsidRPr="004329EC">
        <w:t>are maintained</w:t>
      </w:r>
      <w:proofErr w:type="gramEnd"/>
      <w:r w:rsidRPr="004329EC">
        <w:t xml:space="preserve"> securely and are available for regulatory review. Certified individuals will </w:t>
      </w:r>
      <w:proofErr w:type="gramStart"/>
      <w:r w:rsidRPr="004329EC">
        <w:t>be notified</w:t>
      </w:r>
      <w:proofErr w:type="gramEnd"/>
      <w:r w:rsidRPr="004329EC">
        <w:t xml:space="preserve"> when they are due for assessment and will receive a copy of their certificate upon successful completion of the process.</w:t>
      </w:r>
    </w:p>
    <w:p w14:paraId="7652A661" w14:textId="32AA9B3D" w:rsidR="004329EC" w:rsidRPr="004329EC" w:rsidRDefault="004329EC" w:rsidP="004329EC">
      <w:r w:rsidRPr="004329EC">
        <w:t xml:space="preserve">Responsibility for overseeing the certification process rests with the </w:t>
      </w:r>
      <w:r w:rsidRPr="0070709E">
        <w:rPr>
          <w:color w:val="FF0000"/>
        </w:rPr>
        <w:t>[Insert name and role]</w:t>
      </w:r>
      <w:r w:rsidRPr="004329EC">
        <w:t xml:space="preserve">, with final approval by </w:t>
      </w:r>
      <w:r w:rsidRPr="004329EC">
        <w:rPr>
          <w:color w:val="FF0000"/>
        </w:rPr>
        <w:t>[insert relevant Senior Manager]</w:t>
      </w:r>
      <w:r w:rsidRPr="004329EC">
        <w:t>.</w:t>
      </w:r>
    </w:p>
    <w:p w14:paraId="46A7E289" w14:textId="77777777" w:rsidR="00D32A79" w:rsidRDefault="00D32A79" w:rsidP="00D32A79"/>
    <w:p w14:paraId="5C28DCFA" w14:textId="77777777" w:rsidR="00D32A79" w:rsidRPr="000F487F" w:rsidRDefault="00D32A79" w:rsidP="00D32A79">
      <w:pPr>
        <w:pStyle w:val="Heading1"/>
        <w:rPr>
          <w:color w:val="auto"/>
        </w:rPr>
      </w:pPr>
      <w:bookmarkStart w:id="6" w:name="_Toc199838623"/>
      <w:r w:rsidRPr="000F487F">
        <w:rPr>
          <w:color w:val="auto"/>
        </w:rPr>
        <w:lastRenderedPageBreak/>
        <w:t>The Road to Competence</w:t>
      </w:r>
      <w:bookmarkEnd w:id="6"/>
    </w:p>
    <w:p w14:paraId="26B2426E" w14:textId="3108C880" w:rsidR="00D32A79" w:rsidRPr="000F487F" w:rsidRDefault="001A71F6" w:rsidP="001A71F6">
      <w:pPr>
        <w:pStyle w:val="Heading2"/>
        <w:rPr>
          <w:color w:val="auto"/>
        </w:rPr>
      </w:pPr>
      <w:bookmarkStart w:id="7" w:name="_Toc199838624"/>
      <w:r w:rsidRPr="000F487F">
        <w:rPr>
          <w:color w:val="auto"/>
        </w:rPr>
        <w:t>Induction – What to expect</w:t>
      </w:r>
      <w:bookmarkEnd w:id="7"/>
    </w:p>
    <w:p w14:paraId="06EDC202" w14:textId="0616E87B" w:rsidR="00572FE1" w:rsidRDefault="00572FE1" w:rsidP="00572FE1">
      <w:pPr>
        <w:jc w:val="left"/>
      </w:pPr>
      <w:r w:rsidRPr="00572FE1">
        <w:t>All new joiners subject to the firm’s T&amp;C framework will undergo a structured Induction Training Plan as part of their onboarding. The purpose of this plan is to ensure individuals begin their role with a solid foundation of firm-specific knowledge, regulatory awareness, and practical understanding relevant to their responsibilities.</w:t>
      </w:r>
    </w:p>
    <w:p w14:paraId="029D79C6" w14:textId="77777777" w:rsidR="00572FE1" w:rsidRPr="00572FE1" w:rsidRDefault="00572FE1" w:rsidP="00572FE1">
      <w:pPr>
        <w:jc w:val="left"/>
      </w:pPr>
    </w:p>
    <w:p w14:paraId="6A3886A3" w14:textId="77777777" w:rsidR="00572FE1" w:rsidRPr="00572FE1" w:rsidRDefault="00572FE1" w:rsidP="00572FE1">
      <w:pPr>
        <w:rPr>
          <w:b/>
          <w:bCs/>
        </w:rPr>
      </w:pPr>
      <w:r w:rsidRPr="00572FE1">
        <w:rPr>
          <w:b/>
          <w:bCs/>
        </w:rPr>
        <w:t>Development Needs Identified at Interview</w:t>
      </w:r>
    </w:p>
    <w:p w14:paraId="15921919" w14:textId="77777777" w:rsidR="00572FE1" w:rsidRDefault="00572FE1" w:rsidP="00572FE1">
      <w:r w:rsidRPr="00572FE1">
        <w:t xml:space="preserve">Where the interview process or pre-employment assessments highlight specific areas for development, these will </w:t>
      </w:r>
      <w:proofErr w:type="gramStart"/>
      <w:r w:rsidRPr="00572FE1">
        <w:t>be noted</w:t>
      </w:r>
      <w:proofErr w:type="gramEnd"/>
      <w:r w:rsidRPr="00572FE1">
        <w:t xml:space="preserve"> and incorporated into the individual’s personalised induction plan. This ensures that any known knowledge gaps </w:t>
      </w:r>
      <w:proofErr w:type="gramStart"/>
      <w:r w:rsidRPr="00572FE1">
        <w:t>are addressed</w:t>
      </w:r>
      <w:proofErr w:type="gramEnd"/>
      <w:r w:rsidRPr="00572FE1">
        <w:t xml:space="preserve"> from the outset and supports a targeted approach to onboarding.</w:t>
      </w:r>
    </w:p>
    <w:p w14:paraId="5ADBC839" w14:textId="77777777" w:rsidR="00572FE1" w:rsidRPr="00572FE1" w:rsidRDefault="00572FE1" w:rsidP="00572FE1"/>
    <w:p w14:paraId="20D98D8E" w14:textId="77777777" w:rsidR="00572FE1" w:rsidRPr="00572FE1" w:rsidRDefault="00572FE1" w:rsidP="00572FE1">
      <w:pPr>
        <w:rPr>
          <w:b/>
          <w:bCs/>
        </w:rPr>
      </w:pPr>
      <w:r w:rsidRPr="00572FE1">
        <w:rPr>
          <w:b/>
          <w:bCs/>
        </w:rPr>
        <w:t>T&amp;C Workbook</w:t>
      </w:r>
    </w:p>
    <w:p w14:paraId="55184046" w14:textId="77777777" w:rsidR="00572FE1" w:rsidRPr="00572FE1" w:rsidRDefault="00572FE1" w:rsidP="00572FE1">
      <w:proofErr w:type="gramStart"/>
      <w:r w:rsidRPr="00572FE1">
        <w:t>Each individual</w:t>
      </w:r>
      <w:proofErr w:type="gramEnd"/>
      <w:r w:rsidRPr="00572FE1">
        <w:t xml:space="preserve"> will be issued with a T&amp;C Workbook, which will:</w:t>
      </w:r>
    </w:p>
    <w:p w14:paraId="1E66A668" w14:textId="77777777" w:rsidR="00572FE1" w:rsidRPr="00572FE1" w:rsidRDefault="00572FE1" w:rsidP="006839B9">
      <w:pPr>
        <w:numPr>
          <w:ilvl w:val="0"/>
          <w:numId w:val="9"/>
        </w:numPr>
      </w:pPr>
      <w:r w:rsidRPr="00572FE1">
        <w:t>Record and evidence all induction activities</w:t>
      </w:r>
    </w:p>
    <w:p w14:paraId="630AA99D" w14:textId="77777777" w:rsidR="00572FE1" w:rsidRPr="00572FE1" w:rsidRDefault="00572FE1" w:rsidP="006839B9">
      <w:pPr>
        <w:numPr>
          <w:ilvl w:val="0"/>
          <w:numId w:val="9"/>
        </w:numPr>
      </w:pPr>
      <w:r w:rsidRPr="00572FE1">
        <w:t>Outline the progression from induction to achieving and maintaining competence</w:t>
      </w:r>
    </w:p>
    <w:p w14:paraId="2B19D0F7" w14:textId="77777777" w:rsidR="00572FE1" w:rsidRPr="00572FE1" w:rsidRDefault="00572FE1" w:rsidP="006839B9">
      <w:pPr>
        <w:numPr>
          <w:ilvl w:val="0"/>
          <w:numId w:val="9"/>
        </w:numPr>
      </w:pPr>
      <w:proofErr w:type="gramStart"/>
      <w:r w:rsidRPr="00572FE1">
        <w:t>Be used</w:t>
      </w:r>
      <w:proofErr w:type="gramEnd"/>
      <w:r w:rsidRPr="00572FE1">
        <w:t xml:space="preserve"> by the individual and their supervisor to track development and ensure a consistent approach to training</w:t>
      </w:r>
    </w:p>
    <w:p w14:paraId="187260E9" w14:textId="77777777" w:rsidR="00572FE1" w:rsidRDefault="00572FE1" w:rsidP="00572FE1">
      <w:r w:rsidRPr="00572FE1">
        <w:t xml:space="preserve">This workbook forms a central part of the firm’s supervision and monitoring framework and must </w:t>
      </w:r>
      <w:proofErr w:type="gramStart"/>
      <w:r w:rsidRPr="00572FE1">
        <w:t>be maintained</w:t>
      </w:r>
      <w:proofErr w:type="gramEnd"/>
      <w:r w:rsidRPr="00572FE1">
        <w:t xml:space="preserve"> throughout the T&amp;C journey.</w:t>
      </w:r>
    </w:p>
    <w:p w14:paraId="3194C7EC" w14:textId="77777777" w:rsidR="00572FE1" w:rsidRPr="00572FE1" w:rsidRDefault="00572FE1" w:rsidP="00572FE1"/>
    <w:p w14:paraId="76FC8190" w14:textId="77777777" w:rsidR="00572FE1" w:rsidRPr="00572FE1" w:rsidRDefault="00572FE1" w:rsidP="00572FE1">
      <w:pPr>
        <w:rPr>
          <w:b/>
          <w:bCs/>
        </w:rPr>
      </w:pPr>
      <w:r w:rsidRPr="00572FE1">
        <w:rPr>
          <w:b/>
          <w:bCs/>
        </w:rPr>
        <w:t>Content of the Induction Training Plan</w:t>
      </w:r>
    </w:p>
    <w:p w14:paraId="500376FC" w14:textId="1294604C" w:rsidR="00572FE1" w:rsidRPr="00572FE1" w:rsidRDefault="00572FE1" w:rsidP="00572FE1">
      <w:r w:rsidRPr="00572FE1">
        <w:t xml:space="preserve">The induction phase will typically </w:t>
      </w:r>
      <w:proofErr w:type="gramStart"/>
      <w:r w:rsidRPr="00572FE1">
        <w:t>be completed</w:t>
      </w:r>
      <w:proofErr w:type="gramEnd"/>
      <w:r w:rsidRPr="00572FE1">
        <w:t xml:space="preserve"> within the </w:t>
      </w:r>
      <w:r w:rsidRPr="00572FE1">
        <w:rPr>
          <w:b/>
          <w:bCs/>
        </w:rPr>
        <w:t>first two</w:t>
      </w:r>
      <w:r>
        <w:rPr>
          <w:b/>
          <w:bCs/>
        </w:rPr>
        <w:t xml:space="preserve"> to three</w:t>
      </w:r>
      <w:r w:rsidRPr="00572FE1">
        <w:rPr>
          <w:b/>
          <w:bCs/>
        </w:rPr>
        <w:t xml:space="preserve"> weeks of employment</w:t>
      </w:r>
      <w:r w:rsidRPr="00572FE1">
        <w:t xml:space="preserve"> </w:t>
      </w:r>
      <w:r w:rsidR="00E131A1">
        <w:t xml:space="preserve">(during which time advisers are not authorised to provide any form of advice to clients) </w:t>
      </w:r>
      <w:r w:rsidRPr="00572FE1">
        <w:t>and will cover, as a minimum:</w:t>
      </w:r>
    </w:p>
    <w:p w14:paraId="2FF87D2F" w14:textId="77777777" w:rsidR="00572FE1" w:rsidRPr="00572FE1" w:rsidRDefault="00572FE1" w:rsidP="00CB1CE6">
      <w:pPr>
        <w:ind w:left="720"/>
      </w:pPr>
      <w:r w:rsidRPr="00572FE1">
        <w:rPr>
          <w:b/>
          <w:bCs/>
        </w:rPr>
        <w:t>Firm-Specific Knowledge</w:t>
      </w:r>
    </w:p>
    <w:p w14:paraId="36246642" w14:textId="77777777" w:rsidR="00572FE1" w:rsidRDefault="00572FE1" w:rsidP="006839B9">
      <w:pPr>
        <w:pStyle w:val="ListParagraph"/>
        <w:numPr>
          <w:ilvl w:val="0"/>
          <w:numId w:val="11"/>
        </w:numPr>
      </w:pPr>
      <w:r w:rsidRPr="00572FE1">
        <w:t>Business model, structure, and culture</w:t>
      </w:r>
    </w:p>
    <w:p w14:paraId="52315992" w14:textId="77777777" w:rsidR="00572FE1" w:rsidRDefault="00572FE1" w:rsidP="006839B9">
      <w:pPr>
        <w:pStyle w:val="ListParagraph"/>
        <w:numPr>
          <w:ilvl w:val="0"/>
          <w:numId w:val="11"/>
        </w:numPr>
      </w:pPr>
      <w:r w:rsidRPr="00572FE1">
        <w:t>Key policies and procedures (e.g. Compliance, AML, Data Protection, Conflicts of Interest)</w:t>
      </w:r>
    </w:p>
    <w:p w14:paraId="6763928F" w14:textId="77777777" w:rsidR="00572FE1" w:rsidRDefault="00572FE1" w:rsidP="006839B9">
      <w:pPr>
        <w:pStyle w:val="ListParagraph"/>
        <w:numPr>
          <w:ilvl w:val="0"/>
          <w:numId w:val="11"/>
        </w:numPr>
      </w:pPr>
      <w:r w:rsidRPr="00572FE1">
        <w:t>Introduction to systems, templates, and internal workflows</w:t>
      </w:r>
    </w:p>
    <w:p w14:paraId="48CCF040" w14:textId="4ABD9E02" w:rsidR="00572FE1" w:rsidRPr="00572FE1" w:rsidRDefault="00572FE1" w:rsidP="006839B9">
      <w:pPr>
        <w:pStyle w:val="ListParagraph"/>
        <w:numPr>
          <w:ilvl w:val="0"/>
          <w:numId w:val="11"/>
        </w:numPr>
      </w:pPr>
      <w:r w:rsidRPr="00572FE1">
        <w:t>Client journey and expectations for advice and service standards</w:t>
      </w:r>
    </w:p>
    <w:p w14:paraId="69812F3B" w14:textId="77777777" w:rsidR="00572FE1" w:rsidRDefault="00572FE1" w:rsidP="00CB1CE6">
      <w:pPr>
        <w:ind w:left="720"/>
      </w:pPr>
      <w:r w:rsidRPr="00572FE1">
        <w:rPr>
          <w:b/>
          <w:bCs/>
        </w:rPr>
        <w:t>Industry and Regulatory Knowledge</w:t>
      </w:r>
    </w:p>
    <w:p w14:paraId="5485BA49" w14:textId="77777777" w:rsidR="00572FE1" w:rsidRDefault="00572FE1" w:rsidP="006839B9">
      <w:pPr>
        <w:pStyle w:val="ListParagraph"/>
        <w:numPr>
          <w:ilvl w:val="0"/>
          <w:numId w:val="12"/>
        </w:numPr>
      </w:pPr>
      <w:r w:rsidRPr="00572FE1">
        <w:t>Overview of the regulatory framework (FCA, SM&amp;CR, Consumer Duty, Conduct Rules)</w:t>
      </w:r>
    </w:p>
    <w:p w14:paraId="0B73A8FE" w14:textId="77777777" w:rsidR="00572FE1" w:rsidRDefault="00572FE1" w:rsidP="006839B9">
      <w:pPr>
        <w:pStyle w:val="ListParagraph"/>
        <w:numPr>
          <w:ilvl w:val="0"/>
          <w:numId w:val="12"/>
        </w:numPr>
      </w:pPr>
      <w:r w:rsidRPr="00572FE1">
        <w:t>Key industry bodies and guidance</w:t>
      </w:r>
    </w:p>
    <w:p w14:paraId="34F8737C" w14:textId="10A45593" w:rsidR="00572FE1" w:rsidRPr="00572FE1" w:rsidRDefault="00572FE1" w:rsidP="006839B9">
      <w:pPr>
        <w:pStyle w:val="ListParagraph"/>
        <w:numPr>
          <w:ilvl w:val="0"/>
          <w:numId w:val="12"/>
        </w:numPr>
      </w:pPr>
      <w:r w:rsidRPr="00572FE1">
        <w:lastRenderedPageBreak/>
        <w:t>Role-specific regulatory responsibilities</w:t>
      </w:r>
    </w:p>
    <w:p w14:paraId="21CAD0BD" w14:textId="77777777" w:rsidR="00572FE1" w:rsidRDefault="00572FE1" w:rsidP="00CB1CE6">
      <w:pPr>
        <w:ind w:left="720"/>
      </w:pPr>
      <w:r w:rsidRPr="00572FE1">
        <w:rPr>
          <w:b/>
          <w:bCs/>
        </w:rPr>
        <w:t>Analytical and Application Skills</w:t>
      </w:r>
    </w:p>
    <w:p w14:paraId="4E75F249" w14:textId="77777777" w:rsidR="00572FE1" w:rsidRDefault="00572FE1" w:rsidP="006839B9">
      <w:pPr>
        <w:pStyle w:val="ListParagraph"/>
        <w:numPr>
          <w:ilvl w:val="0"/>
          <w:numId w:val="13"/>
        </w:numPr>
      </w:pPr>
      <w:r w:rsidRPr="00572FE1">
        <w:t>File documentation and suitability report expectations</w:t>
      </w:r>
    </w:p>
    <w:p w14:paraId="53A175A9" w14:textId="77777777" w:rsidR="00572FE1" w:rsidRDefault="00572FE1" w:rsidP="006839B9">
      <w:pPr>
        <w:pStyle w:val="ListParagraph"/>
        <w:numPr>
          <w:ilvl w:val="0"/>
          <w:numId w:val="13"/>
        </w:numPr>
      </w:pPr>
      <w:r w:rsidRPr="00572FE1">
        <w:t>Risk profiling and client objective analysis</w:t>
      </w:r>
    </w:p>
    <w:p w14:paraId="66B660EA" w14:textId="77777777" w:rsidR="00572FE1" w:rsidRDefault="00572FE1" w:rsidP="006839B9">
      <w:pPr>
        <w:pStyle w:val="ListParagraph"/>
        <w:numPr>
          <w:ilvl w:val="0"/>
          <w:numId w:val="13"/>
        </w:numPr>
      </w:pPr>
      <w:r w:rsidRPr="00572FE1">
        <w:t>Product research and advice justification</w:t>
      </w:r>
    </w:p>
    <w:p w14:paraId="7E8AB157" w14:textId="7E92F462" w:rsidR="00572FE1" w:rsidRPr="00572FE1" w:rsidRDefault="00572FE1" w:rsidP="006839B9">
      <w:pPr>
        <w:pStyle w:val="ListParagraph"/>
        <w:numPr>
          <w:ilvl w:val="0"/>
          <w:numId w:val="13"/>
        </w:numPr>
      </w:pPr>
      <w:r w:rsidRPr="00572FE1">
        <w:t>Use of technology in advice and compliance processes</w:t>
      </w:r>
    </w:p>
    <w:p w14:paraId="2C0DF895" w14:textId="056D11DE" w:rsidR="00572FE1" w:rsidRPr="00572FE1" w:rsidRDefault="00572FE1" w:rsidP="00572FE1"/>
    <w:p w14:paraId="2F064020" w14:textId="76BF36E2" w:rsidR="00572FE1" w:rsidRPr="00572FE1" w:rsidRDefault="00572FE1" w:rsidP="00572FE1">
      <w:r w:rsidRPr="00572FE1">
        <w:rPr>
          <w:b/>
          <w:bCs/>
        </w:rPr>
        <w:t>Note:</w:t>
      </w:r>
      <w:r w:rsidRPr="00572FE1">
        <w:t xml:space="preserve"> Supervisors are responsible for ensuring the induction </w:t>
      </w:r>
      <w:proofErr w:type="gramStart"/>
      <w:r w:rsidRPr="00572FE1">
        <w:t>is completed</w:t>
      </w:r>
      <w:proofErr w:type="gramEnd"/>
      <w:r w:rsidRPr="00572FE1">
        <w:t xml:space="preserve"> within the agreed </w:t>
      </w:r>
      <w:proofErr w:type="gramStart"/>
      <w:r w:rsidRPr="00572FE1">
        <w:t>timeframe</w:t>
      </w:r>
      <w:proofErr w:type="gramEnd"/>
      <w:r w:rsidRPr="00572FE1">
        <w:t xml:space="preserve"> and that the T&amp;C Workbook </w:t>
      </w:r>
      <w:proofErr w:type="gramStart"/>
      <w:r w:rsidRPr="00572FE1">
        <w:t>is accurately updated</w:t>
      </w:r>
      <w:proofErr w:type="gramEnd"/>
      <w:r w:rsidRPr="00572FE1">
        <w:t xml:space="preserve">. Where additional support </w:t>
      </w:r>
      <w:proofErr w:type="gramStart"/>
      <w:r w:rsidRPr="00572FE1">
        <w:t>is needed</w:t>
      </w:r>
      <w:proofErr w:type="gramEnd"/>
      <w:r w:rsidRPr="00572FE1">
        <w:t xml:space="preserve"> beyond the initial </w:t>
      </w:r>
      <w:r>
        <w:t>induction</w:t>
      </w:r>
      <w:r w:rsidRPr="00572FE1">
        <w:t xml:space="preserve"> period, this will </w:t>
      </w:r>
      <w:proofErr w:type="gramStart"/>
      <w:r w:rsidRPr="00572FE1">
        <w:t>be documented</w:t>
      </w:r>
      <w:proofErr w:type="gramEnd"/>
      <w:r w:rsidRPr="00572FE1">
        <w:t xml:space="preserve"> and reviewed as part of the individual’s progression plan.</w:t>
      </w:r>
    </w:p>
    <w:p w14:paraId="49BF1092" w14:textId="77777777" w:rsidR="00572FE1" w:rsidRDefault="00572FE1" w:rsidP="004329EC"/>
    <w:p w14:paraId="21DEA4FA" w14:textId="6561AA53" w:rsidR="00572FE1" w:rsidRPr="000F487F" w:rsidRDefault="00572FE1" w:rsidP="00572FE1">
      <w:pPr>
        <w:pStyle w:val="Heading2"/>
        <w:rPr>
          <w:color w:val="auto"/>
        </w:rPr>
      </w:pPr>
      <w:bookmarkStart w:id="8" w:name="_Toc199838625"/>
      <w:r w:rsidRPr="000F487F">
        <w:rPr>
          <w:color w:val="auto"/>
        </w:rPr>
        <w:t>Support &amp; Sign Off</w:t>
      </w:r>
      <w:bookmarkEnd w:id="8"/>
    </w:p>
    <w:p w14:paraId="06639295" w14:textId="29F7EBB4" w:rsidR="00572FE1" w:rsidRDefault="00572FE1" w:rsidP="004329EC">
      <w:r>
        <w:t xml:space="preserve">During the induction stage, weekly 1:1 </w:t>
      </w:r>
      <w:proofErr w:type="gramStart"/>
      <w:r>
        <w:t>meetings</w:t>
      </w:r>
      <w:proofErr w:type="gramEnd"/>
      <w:r>
        <w:t xml:space="preserve"> will take place between the adviser and their allocated </w:t>
      </w:r>
      <w:r w:rsidR="00E131A1">
        <w:t>supervisor</w:t>
      </w:r>
      <w:proofErr w:type="gramStart"/>
      <w:r w:rsidR="00E131A1">
        <w:t xml:space="preserve">.  </w:t>
      </w:r>
      <w:proofErr w:type="gramEnd"/>
      <w:r w:rsidR="00E131A1">
        <w:t xml:space="preserve">This gives both parties the opportunity to highlight any training needs identified and for these to </w:t>
      </w:r>
      <w:proofErr w:type="gramStart"/>
      <w:r w:rsidR="00E131A1">
        <w:t>be addressed</w:t>
      </w:r>
      <w:proofErr w:type="gramEnd"/>
      <w:r w:rsidR="00E131A1">
        <w:t>.</w:t>
      </w:r>
    </w:p>
    <w:p w14:paraId="330B92D9" w14:textId="77777777" w:rsidR="00E131A1" w:rsidRDefault="00E131A1" w:rsidP="004329EC"/>
    <w:p w14:paraId="585745FE" w14:textId="7D4DE6EE" w:rsidR="00E131A1" w:rsidRDefault="00E131A1" w:rsidP="004329EC">
      <w:r>
        <w:t xml:space="preserve">Once the supervisor is satisfied that all requirements of the induction plan (as detailed in the T&amp;C Workbook) </w:t>
      </w:r>
      <w:proofErr w:type="gramStart"/>
      <w:r>
        <w:t>are completed</w:t>
      </w:r>
      <w:proofErr w:type="gramEnd"/>
      <w:r>
        <w:t xml:space="preserve">, evidence should </w:t>
      </w:r>
      <w:proofErr w:type="gramStart"/>
      <w:r>
        <w:t>be submitted</w:t>
      </w:r>
      <w:proofErr w:type="gramEnd"/>
      <w:r>
        <w:t xml:space="preserve"> to </w:t>
      </w:r>
      <w:r w:rsidRPr="00E131A1">
        <w:rPr>
          <w:color w:val="FF0000"/>
        </w:rPr>
        <w:t>[Name, Head of Compliance]</w:t>
      </w:r>
      <w:r>
        <w:rPr>
          <w:color w:val="FF0000"/>
        </w:rPr>
        <w:t xml:space="preserve"> </w:t>
      </w:r>
      <w:r>
        <w:t>for review and sign off</w:t>
      </w:r>
      <w:proofErr w:type="gramStart"/>
      <w:r>
        <w:t xml:space="preserve">.  </w:t>
      </w:r>
      <w:proofErr w:type="gramEnd"/>
      <w:r>
        <w:t xml:space="preserve">Only once this approval has </w:t>
      </w:r>
      <w:proofErr w:type="gramStart"/>
      <w:r>
        <w:t>been granted</w:t>
      </w:r>
      <w:proofErr w:type="gramEnd"/>
      <w:r>
        <w:t xml:space="preserve"> is the individual allowed to move onto the next stage in attaining competence, and to start advising clients (whilst adhering to enhanced supervision)</w:t>
      </w:r>
      <w:r w:rsidR="00A154FE">
        <w:t>.</w:t>
      </w:r>
    </w:p>
    <w:p w14:paraId="25EBC26F" w14:textId="79BDCBDE" w:rsidR="00C23F5C" w:rsidRPr="00C23F5C" w:rsidRDefault="00C23F5C" w:rsidP="004329EC">
      <w:r>
        <w:rPr>
          <w:b/>
          <w:bCs/>
        </w:rPr>
        <w:t xml:space="preserve">Note: </w:t>
      </w:r>
      <w:r>
        <w:t xml:space="preserve">A valid SPS certificate will </w:t>
      </w:r>
      <w:proofErr w:type="gramStart"/>
      <w:r>
        <w:t>be required</w:t>
      </w:r>
      <w:proofErr w:type="gramEnd"/>
      <w:r>
        <w:t xml:space="preserve"> prior to making personal recommendations to clients, and therefore should </w:t>
      </w:r>
      <w:proofErr w:type="gramStart"/>
      <w:r>
        <w:t>be requested</w:t>
      </w:r>
      <w:proofErr w:type="gramEnd"/>
      <w:r w:rsidR="00C63353">
        <w:t xml:space="preserve"> </w:t>
      </w:r>
      <w:r>
        <w:t>as part of this sign off (See SPS section for more info)</w:t>
      </w:r>
    </w:p>
    <w:p w14:paraId="7E11947E" w14:textId="21978483" w:rsidR="00E131A1" w:rsidRPr="000F487F" w:rsidRDefault="001B1477" w:rsidP="001B1477">
      <w:pPr>
        <w:pStyle w:val="Heading2"/>
        <w:rPr>
          <w:color w:val="auto"/>
        </w:rPr>
      </w:pPr>
      <w:bookmarkStart w:id="9" w:name="_Toc199838626"/>
      <w:r w:rsidRPr="000F487F">
        <w:rPr>
          <w:color w:val="auto"/>
        </w:rPr>
        <w:t>Attaining Competence</w:t>
      </w:r>
      <w:bookmarkEnd w:id="9"/>
    </w:p>
    <w:p w14:paraId="79F16D25" w14:textId="77777777" w:rsidR="001B1477" w:rsidRDefault="001B1477" w:rsidP="001B1477">
      <w:pPr>
        <w:jc w:val="left"/>
      </w:pPr>
      <w:r w:rsidRPr="001B1477">
        <w:t xml:space="preserve">Following successful completion of the induction period, advisers will progress to the Attaining Competence phase. This stage </w:t>
      </w:r>
      <w:proofErr w:type="gramStart"/>
      <w:r w:rsidRPr="001B1477">
        <w:t>is designed</w:t>
      </w:r>
      <w:proofErr w:type="gramEnd"/>
      <w:r w:rsidRPr="001B1477">
        <w:t xml:space="preserve"> to ensure that individuals </w:t>
      </w:r>
      <w:proofErr w:type="gramStart"/>
      <w:r w:rsidRPr="001B1477">
        <w:t>are able to</w:t>
      </w:r>
      <w:proofErr w:type="gramEnd"/>
      <w:r w:rsidRPr="001B1477">
        <w:t xml:space="preserve"> apply their knowledge and skills in a live advisory environment while receiving structured support, oversight, and feedback. The aim is to protect the adviser, the firm, and most importantly, the client, while building towards full competence.</w:t>
      </w:r>
    </w:p>
    <w:p w14:paraId="0225BD76" w14:textId="311D9A2D" w:rsidR="00C63353" w:rsidRPr="00C63353" w:rsidRDefault="00C63353" w:rsidP="001B1477">
      <w:pPr>
        <w:jc w:val="left"/>
      </w:pPr>
      <w:r>
        <w:rPr>
          <w:b/>
          <w:bCs/>
        </w:rPr>
        <w:t xml:space="preserve">Note: </w:t>
      </w:r>
      <w:r>
        <w:t xml:space="preserve">Prior to undertaking client meetings and providing recommendations and advice, advisers should </w:t>
      </w:r>
      <w:proofErr w:type="gramStart"/>
      <w:r>
        <w:t>be certified</w:t>
      </w:r>
      <w:proofErr w:type="gramEnd"/>
      <w:r>
        <w:t xml:space="preserve"> and added to the FCA directory.</w:t>
      </w:r>
    </w:p>
    <w:p w14:paraId="02F01BE2" w14:textId="77777777" w:rsidR="00E956EC" w:rsidRPr="001B1477" w:rsidRDefault="00E956EC" w:rsidP="001B1477">
      <w:pPr>
        <w:jc w:val="left"/>
      </w:pPr>
    </w:p>
    <w:p w14:paraId="3DF52A7D" w14:textId="77777777" w:rsidR="001B1477" w:rsidRPr="001B1477" w:rsidRDefault="001B1477" w:rsidP="001B1477">
      <w:pPr>
        <w:jc w:val="left"/>
        <w:rPr>
          <w:b/>
          <w:bCs/>
        </w:rPr>
      </w:pPr>
      <w:r w:rsidRPr="001B1477">
        <w:rPr>
          <w:b/>
          <w:bCs/>
        </w:rPr>
        <w:t>Enhanced Supervision</w:t>
      </w:r>
    </w:p>
    <w:p w14:paraId="016BD59B" w14:textId="77777777" w:rsidR="001B1477" w:rsidRPr="001B1477" w:rsidRDefault="001B1477" w:rsidP="001B1477">
      <w:pPr>
        <w:jc w:val="left"/>
      </w:pPr>
      <w:r w:rsidRPr="001B1477">
        <w:lastRenderedPageBreak/>
        <w:t>All advisers in this phase will be subject to enhanced supervision, which includes:</w:t>
      </w:r>
    </w:p>
    <w:p w14:paraId="20EE46C5" w14:textId="2A22DD83" w:rsidR="001B1477" w:rsidRPr="001B1477" w:rsidRDefault="001B1477" w:rsidP="00CB1CE6">
      <w:pPr>
        <w:ind w:left="720"/>
        <w:jc w:val="left"/>
      </w:pPr>
      <w:r w:rsidRPr="001B1477">
        <w:rPr>
          <w:b/>
          <w:bCs/>
        </w:rPr>
        <w:t>Observation of First Three Fact-Finding Meetings</w:t>
      </w:r>
      <w:r w:rsidRPr="001B1477">
        <w:br/>
        <w:t xml:space="preserve">These must </w:t>
      </w:r>
      <w:proofErr w:type="gramStart"/>
      <w:r w:rsidRPr="001B1477">
        <w:t>be observed</w:t>
      </w:r>
      <w:proofErr w:type="gramEnd"/>
      <w:r w:rsidR="00E956EC">
        <w:t xml:space="preserve"> (</w:t>
      </w:r>
      <w:r w:rsidRPr="001B1477">
        <w:t>either face</w:t>
      </w:r>
      <w:r w:rsidR="00E956EC">
        <w:t xml:space="preserve"> </w:t>
      </w:r>
      <w:r w:rsidRPr="001B1477">
        <w:t>to</w:t>
      </w:r>
      <w:r w:rsidR="00E956EC">
        <w:t xml:space="preserve"> </w:t>
      </w:r>
      <w:r w:rsidRPr="001B1477">
        <w:t>face or remotely</w:t>
      </w:r>
      <w:r w:rsidR="00E956EC">
        <w:t xml:space="preserve">) </w:t>
      </w:r>
      <w:r w:rsidRPr="001B1477">
        <w:t>by the appointed supervisor.</w:t>
      </w:r>
    </w:p>
    <w:p w14:paraId="701DB487" w14:textId="77777777" w:rsidR="001B1477" w:rsidRPr="001B1477" w:rsidRDefault="001B1477" w:rsidP="00CB1CE6">
      <w:pPr>
        <w:ind w:left="720"/>
        <w:jc w:val="left"/>
      </w:pPr>
      <w:r w:rsidRPr="001B1477">
        <w:rPr>
          <w:b/>
          <w:bCs/>
        </w:rPr>
        <w:t>Pre-Approval of Recommendations</w:t>
      </w:r>
      <w:r w:rsidRPr="001B1477">
        <w:br/>
        <w:t>Any advice or recommendation resulting from these initial meetings must receive pre-approval from the Compliance team prior to presentation to the client.</w:t>
      </w:r>
    </w:p>
    <w:p w14:paraId="3EA396E4" w14:textId="6D97F0EE" w:rsidR="001B1477" w:rsidRPr="001B1477" w:rsidRDefault="001B1477" w:rsidP="00CB1CE6">
      <w:pPr>
        <w:ind w:left="720"/>
        <w:jc w:val="left"/>
      </w:pPr>
      <w:r w:rsidRPr="001B1477">
        <w:rPr>
          <w:b/>
          <w:bCs/>
        </w:rPr>
        <w:t>Observation of First Three Presentation Meetings</w:t>
      </w:r>
      <w:r w:rsidRPr="001B1477">
        <w:br/>
        <w:t>As with fact-find</w:t>
      </w:r>
      <w:r w:rsidR="00E956EC">
        <w:t xml:space="preserve"> meeting</w:t>
      </w:r>
      <w:r w:rsidRPr="001B1477">
        <w:t xml:space="preserve">s, the first three meetings in which advice </w:t>
      </w:r>
      <w:proofErr w:type="gramStart"/>
      <w:r w:rsidRPr="001B1477">
        <w:t>is presented</w:t>
      </w:r>
      <w:proofErr w:type="gramEnd"/>
      <w:r w:rsidRPr="001B1477">
        <w:t xml:space="preserve"> to clients must also </w:t>
      </w:r>
      <w:proofErr w:type="gramStart"/>
      <w:r w:rsidRPr="001B1477">
        <w:t>be observed</w:t>
      </w:r>
      <w:proofErr w:type="gramEnd"/>
      <w:r w:rsidRPr="001B1477">
        <w:t xml:space="preserve"> by the supervisor.</w:t>
      </w:r>
    </w:p>
    <w:p w14:paraId="24E08405" w14:textId="77777777" w:rsidR="001B1477" w:rsidRDefault="001B1477" w:rsidP="00CB1CE6">
      <w:pPr>
        <w:ind w:left="720"/>
        <w:jc w:val="left"/>
      </w:pPr>
      <w:r w:rsidRPr="001B1477">
        <w:rPr>
          <w:b/>
          <w:bCs/>
        </w:rPr>
        <w:t>Post-Sale File Review</w:t>
      </w:r>
      <w:r w:rsidRPr="001B1477">
        <w:br/>
        <w:t xml:space="preserve">Once each case is finalised, a full post-sale file review will </w:t>
      </w:r>
      <w:proofErr w:type="gramStart"/>
      <w:r w:rsidRPr="001B1477">
        <w:t>be conducted</w:t>
      </w:r>
      <w:proofErr w:type="gramEnd"/>
      <w:r w:rsidRPr="001B1477">
        <w:t xml:space="preserve"> to assess suitability, disclosure, documentation, and client communication.</w:t>
      </w:r>
    </w:p>
    <w:p w14:paraId="7DDBF9E1" w14:textId="77777777" w:rsidR="00E956EC" w:rsidRPr="001B1477" w:rsidRDefault="00E956EC" w:rsidP="00E956EC">
      <w:pPr>
        <w:ind w:left="720"/>
        <w:jc w:val="left"/>
      </w:pPr>
    </w:p>
    <w:p w14:paraId="54356977" w14:textId="77777777" w:rsidR="001B1477" w:rsidRDefault="001B1477" w:rsidP="001B1477">
      <w:pPr>
        <w:jc w:val="left"/>
      </w:pPr>
      <w:r w:rsidRPr="001B1477">
        <w:t xml:space="preserve">Once both Compliance and the Supervisor are satisfied that the adviser demonstrates consistent quality in both meeting conduct and advice file content, they may move to a lower-risk oversight stage where meetings can </w:t>
      </w:r>
      <w:proofErr w:type="gramStart"/>
      <w:r w:rsidRPr="001B1477">
        <w:t>be held</w:t>
      </w:r>
      <w:proofErr w:type="gramEnd"/>
      <w:r w:rsidRPr="001B1477">
        <w:t xml:space="preserve"> unaccompanied, and only post-sale reviews </w:t>
      </w:r>
      <w:proofErr w:type="gramStart"/>
      <w:r w:rsidRPr="001B1477">
        <w:t>are required</w:t>
      </w:r>
      <w:proofErr w:type="gramEnd"/>
      <w:r w:rsidRPr="001B1477">
        <w:t xml:space="preserve">. This decision must </w:t>
      </w:r>
      <w:proofErr w:type="gramStart"/>
      <w:r w:rsidRPr="001B1477">
        <w:t>be recorded</w:t>
      </w:r>
      <w:proofErr w:type="gramEnd"/>
      <w:r w:rsidRPr="001B1477">
        <w:t xml:space="preserve"> and justified in the adviser’s T&amp;C Workbook.</w:t>
      </w:r>
    </w:p>
    <w:p w14:paraId="53CE262B" w14:textId="77777777" w:rsidR="00E956EC" w:rsidRPr="001B1477" w:rsidRDefault="00E956EC" w:rsidP="001B1477">
      <w:pPr>
        <w:jc w:val="left"/>
      </w:pPr>
    </w:p>
    <w:p w14:paraId="201BD62B" w14:textId="77777777" w:rsidR="001B1477" w:rsidRPr="001B1477" w:rsidRDefault="001B1477" w:rsidP="001B1477">
      <w:pPr>
        <w:jc w:val="left"/>
        <w:rPr>
          <w:b/>
          <w:bCs/>
        </w:rPr>
      </w:pPr>
      <w:r w:rsidRPr="001B1477">
        <w:rPr>
          <w:b/>
          <w:bCs/>
        </w:rPr>
        <w:t>Ongoing Monitoring</w:t>
      </w:r>
    </w:p>
    <w:p w14:paraId="66F40496" w14:textId="77777777" w:rsidR="001B1477" w:rsidRPr="001B1477" w:rsidRDefault="001B1477" w:rsidP="001B1477">
      <w:pPr>
        <w:jc w:val="left"/>
      </w:pPr>
      <w:r w:rsidRPr="001B1477">
        <w:t>Even after unaccompanied meetings commence, 100% post-sale file checks will continue:</w:t>
      </w:r>
    </w:p>
    <w:p w14:paraId="3A60EDF2" w14:textId="77777777" w:rsidR="001B1477" w:rsidRPr="001B1477" w:rsidRDefault="001B1477" w:rsidP="006839B9">
      <w:pPr>
        <w:numPr>
          <w:ilvl w:val="0"/>
          <w:numId w:val="15"/>
        </w:numPr>
        <w:jc w:val="left"/>
      </w:pPr>
      <w:r w:rsidRPr="001B1477">
        <w:t xml:space="preserve">For the </w:t>
      </w:r>
      <w:r w:rsidRPr="001B1477">
        <w:rPr>
          <w:b/>
          <w:bCs/>
        </w:rPr>
        <w:t xml:space="preserve">first </w:t>
      </w:r>
      <w:proofErr w:type="gramStart"/>
      <w:r w:rsidRPr="001B1477">
        <w:rPr>
          <w:b/>
          <w:bCs/>
        </w:rPr>
        <w:t>10</w:t>
      </w:r>
      <w:proofErr w:type="gramEnd"/>
      <w:r w:rsidRPr="001B1477">
        <w:rPr>
          <w:b/>
          <w:bCs/>
        </w:rPr>
        <w:t xml:space="preserve"> advice cases</w:t>
      </w:r>
      <w:r w:rsidRPr="001B1477">
        <w:t>, or</w:t>
      </w:r>
    </w:p>
    <w:p w14:paraId="339535A1" w14:textId="77777777" w:rsidR="001B1477" w:rsidRPr="001B1477" w:rsidRDefault="001B1477" w:rsidP="006839B9">
      <w:pPr>
        <w:numPr>
          <w:ilvl w:val="0"/>
          <w:numId w:val="15"/>
        </w:numPr>
        <w:jc w:val="left"/>
      </w:pPr>
      <w:r w:rsidRPr="001B1477">
        <w:t xml:space="preserve">For a </w:t>
      </w:r>
      <w:r w:rsidRPr="001B1477">
        <w:rPr>
          <w:b/>
          <w:bCs/>
        </w:rPr>
        <w:t>period of six months</w:t>
      </w:r>
      <w:r w:rsidRPr="001B1477">
        <w:t xml:space="preserve"> (whichever is sooner)</w:t>
      </w:r>
    </w:p>
    <w:p w14:paraId="7E373DB9" w14:textId="77777777" w:rsidR="001B1477" w:rsidRDefault="001B1477" w:rsidP="001B1477">
      <w:pPr>
        <w:jc w:val="left"/>
      </w:pPr>
      <w:r w:rsidRPr="001B1477">
        <w:t xml:space="preserve">This period may </w:t>
      </w:r>
      <w:proofErr w:type="gramStart"/>
      <w:r w:rsidRPr="001B1477">
        <w:t>be extended</w:t>
      </w:r>
      <w:proofErr w:type="gramEnd"/>
      <w:r w:rsidRPr="001B1477">
        <w:t xml:space="preserve"> at the discretion of the Compliance function or Supervisor if further development </w:t>
      </w:r>
      <w:proofErr w:type="gramStart"/>
      <w:r w:rsidRPr="001B1477">
        <w:t>is needed</w:t>
      </w:r>
      <w:proofErr w:type="gramEnd"/>
      <w:r w:rsidRPr="001B1477">
        <w:t>.</w:t>
      </w:r>
    </w:p>
    <w:p w14:paraId="25A6D35C" w14:textId="77777777" w:rsidR="00E956EC" w:rsidRPr="001B1477" w:rsidRDefault="00E956EC" w:rsidP="001B1477">
      <w:pPr>
        <w:jc w:val="left"/>
      </w:pPr>
    </w:p>
    <w:p w14:paraId="2847D30D" w14:textId="77777777" w:rsidR="001B1477" w:rsidRPr="001B1477" w:rsidRDefault="001B1477" w:rsidP="001B1477">
      <w:pPr>
        <w:jc w:val="left"/>
        <w:rPr>
          <w:b/>
          <w:bCs/>
        </w:rPr>
      </w:pPr>
      <w:r w:rsidRPr="001B1477">
        <w:rPr>
          <w:b/>
          <w:bCs/>
        </w:rPr>
        <w:t>Training &amp; Development Support</w:t>
      </w:r>
    </w:p>
    <w:p w14:paraId="6678627A" w14:textId="77777777" w:rsidR="001B1477" w:rsidRPr="001B1477" w:rsidRDefault="001B1477" w:rsidP="001B1477">
      <w:pPr>
        <w:jc w:val="left"/>
      </w:pPr>
      <w:r w:rsidRPr="001B1477">
        <w:t>Advisers in this phase will receive:</w:t>
      </w:r>
    </w:p>
    <w:p w14:paraId="3366CA79" w14:textId="3AEB7629" w:rsidR="001B1477" w:rsidRPr="001B1477" w:rsidRDefault="001B1477" w:rsidP="006839B9">
      <w:pPr>
        <w:numPr>
          <w:ilvl w:val="0"/>
          <w:numId w:val="16"/>
        </w:numPr>
        <w:jc w:val="left"/>
      </w:pPr>
      <w:r w:rsidRPr="001B1477">
        <w:t>Documented</w:t>
      </w:r>
      <w:r w:rsidR="00E956EC">
        <w:t xml:space="preserve"> monthly</w:t>
      </w:r>
      <w:r w:rsidRPr="001B1477">
        <w:t xml:space="preserve"> 1:1 supervisory meetings (</w:t>
      </w:r>
      <w:r w:rsidR="00E956EC">
        <w:t xml:space="preserve">change in </w:t>
      </w:r>
      <w:r w:rsidRPr="001B1477">
        <w:t xml:space="preserve">frequency to be determined by the supervisor based on need and </w:t>
      </w:r>
      <w:r w:rsidR="00E956EC">
        <w:t>performance</w:t>
      </w:r>
      <w:r w:rsidRPr="001B1477">
        <w:t>)</w:t>
      </w:r>
    </w:p>
    <w:p w14:paraId="097249DE" w14:textId="77777777" w:rsidR="001B1477" w:rsidRPr="001B1477" w:rsidRDefault="001B1477" w:rsidP="006839B9">
      <w:pPr>
        <w:numPr>
          <w:ilvl w:val="0"/>
          <w:numId w:val="16"/>
        </w:numPr>
        <w:jc w:val="left"/>
      </w:pPr>
      <w:r w:rsidRPr="001B1477">
        <w:t>A formal Training Needs Analysis (TNA)</w:t>
      </w:r>
    </w:p>
    <w:p w14:paraId="00888F30" w14:textId="77777777" w:rsidR="001B1477" w:rsidRPr="001B1477" w:rsidRDefault="001B1477" w:rsidP="006839B9">
      <w:pPr>
        <w:numPr>
          <w:ilvl w:val="0"/>
          <w:numId w:val="16"/>
        </w:numPr>
        <w:jc w:val="left"/>
      </w:pPr>
      <w:r w:rsidRPr="001B1477">
        <w:t>A Personalised Development Plan, designed to address any skill gaps and support their journey to competence</w:t>
      </w:r>
    </w:p>
    <w:p w14:paraId="11E9C722" w14:textId="77777777" w:rsidR="001B1477" w:rsidRDefault="001B1477" w:rsidP="001B1477">
      <w:pPr>
        <w:jc w:val="left"/>
      </w:pPr>
      <w:r w:rsidRPr="001B1477">
        <w:lastRenderedPageBreak/>
        <w:t xml:space="preserve">Progress will </w:t>
      </w:r>
      <w:proofErr w:type="gramStart"/>
      <w:r w:rsidRPr="001B1477">
        <w:t>be reviewed</w:t>
      </w:r>
      <w:proofErr w:type="gramEnd"/>
      <w:r w:rsidRPr="001B1477">
        <w:t xml:space="preserve"> regularly, and all activity will </w:t>
      </w:r>
      <w:proofErr w:type="gramStart"/>
      <w:r w:rsidRPr="001B1477">
        <w:t>be documented</w:t>
      </w:r>
      <w:proofErr w:type="gramEnd"/>
      <w:r w:rsidRPr="001B1477">
        <w:t xml:space="preserve"> within the adviser’s T&amp;C Workbook.</w:t>
      </w:r>
    </w:p>
    <w:p w14:paraId="62A78DA9" w14:textId="77777777" w:rsidR="00E956EC" w:rsidRPr="001B1477" w:rsidRDefault="00E956EC" w:rsidP="001B1477">
      <w:pPr>
        <w:jc w:val="left"/>
      </w:pPr>
    </w:p>
    <w:p w14:paraId="50891AA6" w14:textId="77777777" w:rsidR="001B1477" w:rsidRPr="001B1477" w:rsidRDefault="001B1477" w:rsidP="001B1477">
      <w:pPr>
        <w:jc w:val="left"/>
        <w:rPr>
          <w:b/>
          <w:bCs/>
        </w:rPr>
      </w:pPr>
      <w:r w:rsidRPr="001B1477">
        <w:rPr>
          <w:b/>
          <w:bCs/>
        </w:rPr>
        <w:t>Key Performance Indicators (KPIs)</w:t>
      </w:r>
    </w:p>
    <w:p w14:paraId="36D03998" w14:textId="77777777" w:rsidR="001B1477" w:rsidRPr="001B1477" w:rsidRDefault="001B1477" w:rsidP="001B1477">
      <w:pPr>
        <w:jc w:val="left"/>
      </w:pPr>
      <w:r w:rsidRPr="001B1477">
        <w:t>In addition to qualitative assessments, advisers must meet agreed performance expectations, which may include:</w:t>
      </w:r>
    </w:p>
    <w:p w14:paraId="6D3E51EF" w14:textId="77777777" w:rsidR="001B1477" w:rsidRPr="001B1477" w:rsidRDefault="001B1477" w:rsidP="006839B9">
      <w:pPr>
        <w:numPr>
          <w:ilvl w:val="0"/>
          <w:numId w:val="17"/>
        </w:numPr>
        <w:jc w:val="left"/>
      </w:pPr>
      <w:r w:rsidRPr="001B1477">
        <w:rPr>
          <w:b/>
          <w:bCs/>
        </w:rPr>
        <w:t>Advice File Quality</w:t>
      </w:r>
      <w:r w:rsidRPr="001B1477">
        <w:t xml:space="preserve"> – e.g. achieving ‘pass’ or above on a defined % of file checks</w:t>
      </w:r>
    </w:p>
    <w:p w14:paraId="0ADA363D" w14:textId="77777777" w:rsidR="001B1477" w:rsidRPr="001B1477" w:rsidRDefault="001B1477" w:rsidP="006839B9">
      <w:pPr>
        <w:numPr>
          <w:ilvl w:val="0"/>
          <w:numId w:val="17"/>
        </w:numPr>
        <w:jc w:val="left"/>
      </w:pPr>
      <w:r w:rsidRPr="001B1477">
        <w:rPr>
          <w:b/>
          <w:bCs/>
        </w:rPr>
        <w:t>Complaints</w:t>
      </w:r>
      <w:r w:rsidRPr="001B1477">
        <w:t xml:space="preserve"> – No upheld complaints relating to advice, conduct, or service</w:t>
      </w:r>
    </w:p>
    <w:p w14:paraId="705F71BD" w14:textId="77777777" w:rsidR="001B1477" w:rsidRPr="001B1477" w:rsidRDefault="001B1477" w:rsidP="006839B9">
      <w:pPr>
        <w:numPr>
          <w:ilvl w:val="0"/>
          <w:numId w:val="17"/>
        </w:numPr>
        <w:jc w:val="left"/>
      </w:pPr>
      <w:r w:rsidRPr="001B1477">
        <w:rPr>
          <w:b/>
          <w:bCs/>
        </w:rPr>
        <w:t>Non-Taken-Up (NTU) Rate</w:t>
      </w:r>
      <w:r w:rsidRPr="001B1477">
        <w:t xml:space="preserve"> – Monitoring client take-up of recommendations and identifying any concerning trends</w:t>
      </w:r>
    </w:p>
    <w:p w14:paraId="189B469D" w14:textId="77777777" w:rsidR="001B1477" w:rsidRPr="001B1477" w:rsidRDefault="001B1477" w:rsidP="006839B9">
      <w:pPr>
        <w:numPr>
          <w:ilvl w:val="0"/>
          <w:numId w:val="17"/>
        </w:numPr>
        <w:jc w:val="left"/>
      </w:pPr>
      <w:r w:rsidRPr="001B1477">
        <w:rPr>
          <w:b/>
          <w:bCs/>
        </w:rPr>
        <w:t>Policy Cancellations or Lapses</w:t>
      </w:r>
      <w:r w:rsidRPr="001B1477">
        <w:t xml:space="preserve"> – Tracking persistency and client retention</w:t>
      </w:r>
    </w:p>
    <w:p w14:paraId="17F0BEB1" w14:textId="77777777" w:rsidR="001B1477" w:rsidRPr="001B1477" w:rsidRDefault="001B1477" w:rsidP="006839B9">
      <w:pPr>
        <w:numPr>
          <w:ilvl w:val="0"/>
          <w:numId w:val="17"/>
        </w:numPr>
        <w:jc w:val="left"/>
      </w:pPr>
      <w:r w:rsidRPr="001B1477">
        <w:rPr>
          <w:b/>
          <w:bCs/>
        </w:rPr>
        <w:t>Client Outcomes &amp; Feedback</w:t>
      </w:r>
      <w:r w:rsidRPr="001B1477">
        <w:t xml:space="preserve"> – Any poor outcomes, red flags, or adverse feedback will </w:t>
      </w:r>
      <w:proofErr w:type="gramStart"/>
      <w:r w:rsidRPr="001B1477">
        <w:t>be reviewed</w:t>
      </w:r>
      <w:proofErr w:type="gramEnd"/>
    </w:p>
    <w:p w14:paraId="09D054FC" w14:textId="77777777" w:rsidR="001B1477" w:rsidRDefault="001B1477" w:rsidP="006839B9">
      <w:pPr>
        <w:numPr>
          <w:ilvl w:val="0"/>
          <w:numId w:val="17"/>
        </w:numPr>
        <w:jc w:val="left"/>
      </w:pPr>
      <w:r w:rsidRPr="001B1477">
        <w:rPr>
          <w:b/>
          <w:bCs/>
        </w:rPr>
        <w:t>Regulatory Breaches</w:t>
      </w:r>
      <w:r w:rsidRPr="001B1477">
        <w:t xml:space="preserve"> – No conduct rule breaches or risk events recorded</w:t>
      </w:r>
    </w:p>
    <w:p w14:paraId="01F7B30E" w14:textId="74197BF1" w:rsidR="00E956EC" w:rsidRPr="001B1477" w:rsidRDefault="00E956EC" w:rsidP="006839B9">
      <w:pPr>
        <w:numPr>
          <w:ilvl w:val="0"/>
          <w:numId w:val="17"/>
        </w:numPr>
        <w:jc w:val="left"/>
      </w:pPr>
      <w:r>
        <w:rPr>
          <w:b/>
          <w:bCs/>
        </w:rPr>
        <w:t xml:space="preserve">CPD </w:t>
      </w:r>
      <w:r>
        <w:t>– Relevant CPD completed and CPD hours to be at the expected standard</w:t>
      </w:r>
    </w:p>
    <w:p w14:paraId="1859025E" w14:textId="77777777" w:rsidR="001B1477" w:rsidRDefault="001B1477" w:rsidP="006839B9">
      <w:pPr>
        <w:numPr>
          <w:ilvl w:val="0"/>
          <w:numId w:val="17"/>
        </w:numPr>
        <w:jc w:val="left"/>
      </w:pPr>
      <w:r w:rsidRPr="001B1477">
        <w:rPr>
          <w:b/>
          <w:bCs/>
        </w:rPr>
        <w:t>T&amp;C Milestones</w:t>
      </w:r>
      <w:r w:rsidRPr="001B1477">
        <w:t xml:space="preserve"> – Completion of observed meetings, training modules, and workbook entries on schedule</w:t>
      </w:r>
    </w:p>
    <w:p w14:paraId="031A1A1F" w14:textId="77777777" w:rsidR="00E956EC" w:rsidRPr="001B1477" w:rsidRDefault="00E956EC" w:rsidP="00E956EC">
      <w:pPr>
        <w:ind w:left="720"/>
        <w:jc w:val="left"/>
      </w:pPr>
    </w:p>
    <w:p w14:paraId="29BC9A2E" w14:textId="77777777" w:rsidR="001B1477" w:rsidRDefault="001B1477" w:rsidP="001B1477">
      <w:pPr>
        <w:jc w:val="left"/>
      </w:pPr>
      <w:r w:rsidRPr="001B1477">
        <w:t>These KPIs provide a balanced picture of both the adviser’s conduct and commercial performance.</w:t>
      </w:r>
    </w:p>
    <w:p w14:paraId="206CCCDC" w14:textId="77777777" w:rsidR="00E956EC" w:rsidRPr="001B1477" w:rsidRDefault="00E956EC" w:rsidP="001B1477">
      <w:pPr>
        <w:jc w:val="left"/>
      </w:pPr>
    </w:p>
    <w:p w14:paraId="43739BDF" w14:textId="77777777" w:rsidR="001B1477" w:rsidRPr="001B1477" w:rsidRDefault="001B1477" w:rsidP="001B1477">
      <w:pPr>
        <w:jc w:val="left"/>
        <w:rPr>
          <w:b/>
          <w:bCs/>
        </w:rPr>
      </w:pPr>
      <w:r w:rsidRPr="001B1477">
        <w:rPr>
          <w:b/>
          <w:bCs/>
        </w:rPr>
        <w:t>Duration of Attaining Competence Phase</w:t>
      </w:r>
    </w:p>
    <w:p w14:paraId="452F8697" w14:textId="77777777" w:rsidR="001B1477" w:rsidRPr="001B1477" w:rsidRDefault="001B1477" w:rsidP="001B1477">
      <w:pPr>
        <w:jc w:val="left"/>
      </w:pPr>
      <w:r w:rsidRPr="001B1477">
        <w:t xml:space="preserve">The typical </w:t>
      </w:r>
      <w:proofErr w:type="gramStart"/>
      <w:r w:rsidRPr="001B1477">
        <w:t>timeframe</w:t>
      </w:r>
      <w:proofErr w:type="gramEnd"/>
      <w:r w:rsidRPr="001B1477">
        <w:t xml:space="preserve"> for completing this stage is:</w:t>
      </w:r>
    </w:p>
    <w:p w14:paraId="4B4B1AC2" w14:textId="46DE8C3F" w:rsidR="001B1477" w:rsidRPr="001B1477" w:rsidRDefault="001B1477" w:rsidP="006839B9">
      <w:pPr>
        <w:numPr>
          <w:ilvl w:val="0"/>
          <w:numId w:val="18"/>
        </w:numPr>
        <w:jc w:val="left"/>
      </w:pPr>
      <w:r w:rsidRPr="001B1477">
        <w:rPr>
          <w:b/>
          <w:bCs/>
        </w:rPr>
        <w:t>18 months</w:t>
      </w:r>
      <w:r w:rsidRPr="001B1477">
        <w:t xml:space="preserve"> for individuals new to the role or industry</w:t>
      </w:r>
    </w:p>
    <w:p w14:paraId="1B4E5E65" w14:textId="3D36AA79" w:rsidR="001B1477" w:rsidRDefault="001B1477" w:rsidP="006839B9">
      <w:pPr>
        <w:numPr>
          <w:ilvl w:val="0"/>
          <w:numId w:val="18"/>
        </w:numPr>
        <w:jc w:val="left"/>
      </w:pPr>
      <w:r w:rsidRPr="001B1477">
        <w:rPr>
          <w:b/>
          <w:bCs/>
        </w:rPr>
        <w:t>Expedited timelines</w:t>
      </w:r>
      <w:r w:rsidRPr="001B1477">
        <w:t xml:space="preserve"> may apply for experienced advisers, subject to evidence of performance and supervisory sign-off</w:t>
      </w:r>
    </w:p>
    <w:p w14:paraId="0CC47B3F" w14:textId="77777777" w:rsidR="00C63353" w:rsidRDefault="00C63353" w:rsidP="00C63353">
      <w:pPr>
        <w:ind w:left="720"/>
        <w:jc w:val="left"/>
      </w:pPr>
    </w:p>
    <w:p w14:paraId="7E9F1257" w14:textId="18B64440" w:rsidR="00C63353" w:rsidRPr="00C63353" w:rsidRDefault="00C63353" w:rsidP="00C63353">
      <w:pPr>
        <w:jc w:val="left"/>
        <w:rPr>
          <w:b/>
          <w:bCs/>
        </w:rPr>
      </w:pPr>
      <w:r w:rsidRPr="00C63353">
        <w:rPr>
          <w:b/>
          <w:bCs/>
        </w:rPr>
        <w:t>Recognition of Prior Experience and Fast</w:t>
      </w:r>
      <w:r>
        <w:rPr>
          <w:b/>
          <w:bCs/>
        </w:rPr>
        <w:t xml:space="preserve"> </w:t>
      </w:r>
      <w:r w:rsidRPr="00C63353">
        <w:rPr>
          <w:b/>
          <w:bCs/>
        </w:rPr>
        <w:t>Tracking to Competence</w:t>
      </w:r>
    </w:p>
    <w:p w14:paraId="378F7C95" w14:textId="77777777" w:rsidR="00C63353" w:rsidRDefault="00C63353" w:rsidP="00C63353">
      <w:pPr>
        <w:jc w:val="left"/>
      </w:pPr>
      <w:r w:rsidRPr="00C63353">
        <w:t xml:space="preserve">Where an individual </w:t>
      </w:r>
      <w:proofErr w:type="gramStart"/>
      <w:r w:rsidRPr="00C63353">
        <w:t>is recruited</w:t>
      </w:r>
      <w:proofErr w:type="gramEnd"/>
      <w:r w:rsidRPr="00C63353">
        <w:t xml:space="preserve"> into a role that closely aligns with their previous position and there is evidence that they have already achieved and maintained competent status, the firm may consider accelerating their route to competence within our T&amp;C framework.</w:t>
      </w:r>
    </w:p>
    <w:p w14:paraId="02FBBE00" w14:textId="77777777" w:rsidR="00C63353" w:rsidRPr="00C63353" w:rsidRDefault="00C63353" w:rsidP="00C63353">
      <w:pPr>
        <w:jc w:val="left"/>
      </w:pPr>
    </w:p>
    <w:p w14:paraId="16AB260A" w14:textId="77777777" w:rsidR="00C63353" w:rsidRDefault="00C63353" w:rsidP="00C63353">
      <w:pPr>
        <w:jc w:val="left"/>
      </w:pPr>
      <w:r w:rsidRPr="00C63353">
        <w:t>This approach allows the firm to tailor the training and supervision process to reflect the adviser’s existing capabilities, reducing duplication while still ensuring they meet our internal standards.</w:t>
      </w:r>
    </w:p>
    <w:p w14:paraId="445964B9" w14:textId="77777777" w:rsidR="00C63353" w:rsidRPr="00C63353" w:rsidRDefault="00C63353" w:rsidP="00C63353">
      <w:pPr>
        <w:jc w:val="left"/>
      </w:pPr>
    </w:p>
    <w:p w14:paraId="3EDF132B" w14:textId="77777777" w:rsidR="00C63353" w:rsidRPr="00C63353" w:rsidRDefault="00C63353" w:rsidP="00C63353">
      <w:pPr>
        <w:jc w:val="left"/>
      </w:pPr>
      <w:r w:rsidRPr="00C63353">
        <w:lastRenderedPageBreak/>
        <w:t>The relevant supervisor is responsible for reviewing:</w:t>
      </w:r>
    </w:p>
    <w:p w14:paraId="0EEF21AE" w14:textId="77777777" w:rsidR="00C63353" w:rsidRPr="00C63353" w:rsidRDefault="00C63353" w:rsidP="006839B9">
      <w:pPr>
        <w:numPr>
          <w:ilvl w:val="0"/>
          <w:numId w:val="20"/>
        </w:numPr>
        <w:jc w:val="left"/>
      </w:pPr>
      <w:r w:rsidRPr="00C63353">
        <w:t>The nature and responsibilities of the individual’s previous role</w:t>
      </w:r>
    </w:p>
    <w:p w14:paraId="06EBC783" w14:textId="77777777" w:rsidR="00C63353" w:rsidRPr="00C63353" w:rsidRDefault="00C63353" w:rsidP="006839B9">
      <w:pPr>
        <w:numPr>
          <w:ilvl w:val="0"/>
          <w:numId w:val="20"/>
        </w:numPr>
        <w:jc w:val="left"/>
      </w:pPr>
      <w:r w:rsidRPr="00C63353">
        <w:t>Evidence of prior competence (e.g. from the former employer, CPD records, file reviews, SPS history)</w:t>
      </w:r>
    </w:p>
    <w:p w14:paraId="1E51A204" w14:textId="77777777" w:rsidR="00C63353" w:rsidRDefault="00C63353" w:rsidP="006839B9">
      <w:pPr>
        <w:numPr>
          <w:ilvl w:val="0"/>
          <w:numId w:val="20"/>
        </w:numPr>
        <w:jc w:val="left"/>
      </w:pPr>
      <w:r w:rsidRPr="00C63353">
        <w:t>Performance during our induction and initial assessments</w:t>
      </w:r>
    </w:p>
    <w:p w14:paraId="0B71B7F0" w14:textId="77777777" w:rsidR="00C63353" w:rsidRDefault="00C63353" w:rsidP="00C63353">
      <w:pPr>
        <w:jc w:val="left"/>
      </w:pPr>
    </w:p>
    <w:p w14:paraId="3CC13A7C" w14:textId="7AD6546C" w:rsidR="00C63353" w:rsidRDefault="00C63353" w:rsidP="00C63353">
      <w:pPr>
        <w:jc w:val="left"/>
      </w:pPr>
      <w:r w:rsidRPr="00C63353">
        <w:t xml:space="preserve">Based on this, the supervisor may recommend that certain components of the standard training and assessment programme </w:t>
      </w:r>
      <w:proofErr w:type="gramStart"/>
      <w:r w:rsidRPr="00C63353">
        <w:t>be reduced</w:t>
      </w:r>
      <w:proofErr w:type="gramEnd"/>
      <w:r w:rsidRPr="00C63353">
        <w:t xml:space="preserve"> or removed. However, this decision is not automatic and must </w:t>
      </w:r>
      <w:proofErr w:type="gramStart"/>
      <w:r w:rsidRPr="00C63353">
        <w:t>be supported</w:t>
      </w:r>
      <w:proofErr w:type="gramEnd"/>
      <w:r w:rsidRPr="00C63353">
        <w:t xml:space="preserve"> by documented evidence of prior performance and ability.</w:t>
      </w:r>
    </w:p>
    <w:p w14:paraId="18A4C60C" w14:textId="77777777" w:rsidR="00080E51" w:rsidRPr="00C63353" w:rsidRDefault="00080E51" w:rsidP="00C63353">
      <w:pPr>
        <w:jc w:val="left"/>
      </w:pPr>
    </w:p>
    <w:p w14:paraId="5BED8861" w14:textId="77777777" w:rsidR="00C63353" w:rsidRPr="00C63353" w:rsidRDefault="00C63353" w:rsidP="00C63353">
      <w:pPr>
        <w:jc w:val="left"/>
      </w:pPr>
      <w:r w:rsidRPr="00C63353">
        <w:t xml:space="preserve">Before any variation to the standard T&amp;C requirements </w:t>
      </w:r>
      <w:proofErr w:type="gramStart"/>
      <w:r w:rsidRPr="00C63353">
        <w:t>is applied</w:t>
      </w:r>
      <w:proofErr w:type="gramEnd"/>
      <w:r w:rsidRPr="00C63353">
        <w:t xml:space="preserve">, the proposal must </w:t>
      </w:r>
      <w:proofErr w:type="gramStart"/>
      <w:r w:rsidRPr="00C63353">
        <w:t>be reviewed</w:t>
      </w:r>
      <w:proofErr w:type="gramEnd"/>
      <w:r w:rsidRPr="00C63353">
        <w:t xml:space="preserve"> and approved jointly by the Compliance team and the T&amp;C Supervisor. The rationale and decision must </w:t>
      </w:r>
      <w:proofErr w:type="gramStart"/>
      <w:r w:rsidRPr="00C63353">
        <w:t>be recorded</w:t>
      </w:r>
      <w:proofErr w:type="gramEnd"/>
      <w:r w:rsidRPr="00C63353">
        <w:t xml:space="preserve"> in the individual’s T&amp;C Workbook, ensuring transparency and accountability in the fast-tracking process.</w:t>
      </w:r>
    </w:p>
    <w:p w14:paraId="4295C934" w14:textId="77777777" w:rsidR="00C63353" w:rsidRPr="00C63353" w:rsidRDefault="00C63353" w:rsidP="00C63353">
      <w:pPr>
        <w:jc w:val="left"/>
      </w:pPr>
      <w:r w:rsidRPr="00C63353">
        <w:t>All advisers, regardless of experience, must complete sufficient onboarding to ensure understanding of our firm’s culture, systems, regulatory expectations, and advice standards.</w:t>
      </w:r>
    </w:p>
    <w:p w14:paraId="51527ED0" w14:textId="77777777" w:rsidR="00C23F5C" w:rsidRDefault="00C23F5C" w:rsidP="00C23F5C">
      <w:pPr>
        <w:jc w:val="left"/>
        <w:rPr>
          <w:b/>
          <w:bCs/>
        </w:rPr>
      </w:pPr>
    </w:p>
    <w:p w14:paraId="404A05E1" w14:textId="77777777" w:rsidR="00C23F5C" w:rsidRPr="00C23F5C" w:rsidRDefault="00C23F5C" w:rsidP="00C23F5C">
      <w:pPr>
        <w:pStyle w:val="30Tabletext"/>
        <w:rPr>
          <w:rFonts w:ascii="Open Sans" w:eastAsiaTheme="minorHAnsi" w:hAnsi="Open Sans" w:cstheme="minorBidi"/>
          <w:color w:val="auto"/>
          <w:lang w:val="en-GB" w:eastAsia="en-US"/>
        </w:rPr>
      </w:pPr>
      <w:r w:rsidRPr="00C23F5C">
        <w:rPr>
          <w:rFonts w:ascii="Open Sans" w:eastAsiaTheme="minorHAnsi" w:hAnsi="Open Sans" w:cstheme="minorBidi"/>
          <w:color w:val="auto"/>
          <w:lang w:val="en-GB" w:eastAsia="en-US"/>
        </w:rPr>
        <w:t>If an individual fails to obtain an appropriate qualification within 48 months of starting that activity, we:</w:t>
      </w:r>
    </w:p>
    <w:p w14:paraId="72D0552A" w14:textId="77777777" w:rsidR="00C23F5C" w:rsidRPr="00C23F5C" w:rsidRDefault="00C23F5C" w:rsidP="00C23F5C">
      <w:pPr>
        <w:pStyle w:val="21Bullet1"/>
        <w:rPr>
          <w:rFonts w:ascii="Open Sans" w:eastAsiaTheme="minorHAnsi" w:hAnsi="Open Sans" w:cstheme="minorBidi"/>
          <w:color w:val="auto"/>
          <w:lang w:eastAsia="en-US"/>
        </w:rPr>
      </w:pPr>
      <w:r w:rsidRPr="00C23F5C">
        <w:rPr>
          <w:rFonts w:ascii="Open Sans" w:eastAsiaTheme="minorHAnsi" w:hAnsi="Open Sans" w:cstheme="minorBidi"/>
          <w:color w:val="auto"/>
          <w:lang w:eastAsia="en-US"/>
        </w:rPr>
        <w:t xml:space="preserve">Make sure they cease that activity until they attain the relevant appropriate qualification </w:t>
      </w:r>
    </w:p>
    <w:p w14:paraId="40900989" w14:textId="4EC002A3" w:rsidR="00E956EC" w:rsidRPr="00C23F5C" w:rsidRDefault="00C23F5C" w:rsidP="00C23F5C">
      <w:pPr>
        <w:pStyle w:val="21Bullet1"/>
        <w:rPr>
          <w:rFonts w:ascii="Open Sans" w:eastAsiaTheme="minorHAnsi" w:hAnsi="Open Sans" w:cstheme="minorBidi"/>
          <w:color w:val="auto"/>
          <w:lang w:eastAsia="en-US"/>
        </w:rPr>
      </w:pPr>
      <w:r w:rsidRPr="00C23F5C">
        <w:rPr>
          <w:rFonts w:ascii="Open Sans" w:eastAsiaTheme="minorHAnsi" w:hAnsi="Open Sans" w:cstheme="minorBidi"/>
          <w:color w:val="auto"/>
          <w:lang w:eastAsia="en-US"/>
        </w:rPr>
        <w:t>Notify the FCA accordingly</w:t>
      </w:r>
    </w:p>
    <w:p w14:paraId="021E1405" w14:textId="424392D9" w:rsidR="00743986" w:rsidRDefault="001B1477" w:rsidP="001B1477">
      <w:pPr>
        <w:jc w:val="left"/>
      </w:pPr>
      <w:r w:rsidRPr="001B1477">
        <w:t xml:space="preserve">No individual may </w:t>
      </w:r>
      <w:proofErr w:type="gramStart"/>
      <w:r w:rsidRPr="001B1477">
        <w:t>be deemed</w:t>
      </w:r>
      <w:proofErr w:type="gramEnd"/>
      <w:r w:rsidRPr="001B1477">
        <w:t xml:space="preserve"> competent without the </w:t>
      </w:r>
      <w:r w:rsidRPr="001B1477">
        <w:rPr>
          <w:b/>
          <w:bCs/>
        </w:rPr>
        <w:t>joint approval</w:t>
      </w:r>
      <w:r w:rsidRPr="001B1477">
        <w:t xml:space="preserve"> of Compliance and the Supervisor. This decision, </w:t>
      </w:r>
      <w:r w:rsidR="00965D34">
        <w:t>and</w:t>
      </w:r>
      <w:r w:rsidRPr="001B1477">
        <w:t xml:space="preserve"> supporting evidence, must </w:t>
      </w:r>
      <w:proofErr w:type="gramStart"/>
      <w:r w:rsidRPr="001B1477">
        <w:t>be fully documented</w:t>
      </w:r>
      <w:proofErr w:type="gramEnd"/>
      <w:r w:rsidRPr="001B1477">
        <w:t xml:space="preserve"> within the T&amp;C Workbook</w:t>
      </w:r>
      <w:proofErr w:type="gramStart"/>
      <w:r w:rsidRPr="001B1477">
        <w:t>.</w:t>
      </w:r>
      <w:r w:rsidR="00965D34">
        <w:t xml:space="preserve">  </w:t>
      </w:r>
      <w:proofErr w:type="gramEnd"/>
      <w:r w:rsidR="00965D34" w:rsidRPr="00223258">
        <w:rPr>
          <w:rFonts w:cs="Open Sans"/>
        </w:rPr>
        <w:t xml:space="preserve">The following knowledge and skill areas </w:t>
      </w:r>
      <w:proofErr w:type="gramStart"/>
      <w:r w:rsidR="00965D34">
        <w:rPr>
          <w:rFonts w:cs="Open Sans"/>
        </w:rPr>
        <w:t>are expected</w:t>
      </w:r>
      <w:proofErr w:type="gramEnd"/>
      <w:r w:rsidR="00965D34">
        <w:rPr>
          <w:rFonts w:cs="Open Sans"/>
        </w:rPr>
        <w:t xml:space="preserve"> to</w:t>
      </w:r>
      <w:r w:rsidR="00965D34" w:rsidRPr="00223258">
        <w:rPr>
          <w:rFonts w:cs="Open Sans"/>
        </w:rPr>
        <w:t xml:space="preserve"> </w:t>
      </w:r>
      <w:proofErr w:type="gramStart"/>
      <w:r w:rsidR="00965D34" w:rsidRPr="00223258">
        <w:rPr>
          <w:rFonts w:cs="Open Sans"/>
        </w:rPr>
        <w:t>be demonstrated</w:t>
      </w:r>
      <w:proofErr w:type="gramEnd"/>
      <w:r w:rsidR="00965D34">
        <w:rPr>
          <w:rFonts w:cs="Open Sans"/>
        </w:rPr>
        <w:t xml:space="preserve"> </w:t>
      </w:r>
      <w:proofErr w:type="gramStart"/>
      <w:r w:rsidR="00965D34">
        <w:rPr>
          <w:rFonts w:cs="Open Sans"/>
        </w:rPr>
        <w:t>in order</w:t>
      </w:r>
      <w:r w:rsidR="00965D34" w:rsidRPr="00223258">
        <w:rPr>
          <w:rFonts w:cs="Open Sans"/>
        </w:rPr>
        <w:t xml:space="preserve"> to</w:t>
      </w:r>
      <w:proofErr w:type="gramEnd"/>
      <w:r w:rsidR="00965D34" w:rsidRPr="00223258">
        <w:rPr>
          <w:rFonts w:cs="Open Sans"/>
        </w:rPr>
        <w:t xml:space="preserve"> attain and maintain competence:</w:t>
      </w:r>
    </w:p>
    <w:tbl>
      <w:tblPr>
        <w:tblStyle w:val="TableGrid"/>
        <w:tblpPr w:leftFromText="180" w:rightFromText="180" w:vertAnchor="text" w:horzAnchor="margin" w:tblpY="189"/>
        <w:tblW w:w="0" w:type="auto"/>
        <w:tblLook w:val="04A0" w:firstRow="1" w:lastRow="0" w:firstColumn="1" w:lastColumn="0" w:noHBand="0" w:noVBand="1"/>
      </w:tblPr>
      <w:tblGrid>
        <w:gridCol w:w="8926"/>
      </w:tblGrid>
      <w:tr w:rsidR="00743986" w:rsidRPr="00223258" w14:paraId="5A1749B0" w14:textId="77777777" w:rsidTr="000F487F">
        <w:trPr>
          <w:trHeight w:val="397"/>
        </w:trPr>
        <w:tc>
          <w:tcPr>
            <w:tcW w:w="8926" w:type="dxa"/>
            <w:shd w:val="clear" w:color="auto" w:fill="000000" w:themeFill="text1"/>
          </w:tcPr>
          <w:p w14:paraId="5454F3BC" w14:textId="269E388B" w:rsidR="00743986" w:rsidRPr="00223258" w:rsidRDefault="004D5846" w:rsidP="007C2758">
            <w:pPr>
              <w:rPr>
                <w:rFonts w:cs="Open Sans"/>
                <w:b/>
              </w:rPr>
            </w:pPr>
            <w:r>
              <w:rPr>
                <w:rFonts w:cs="Open Sans"/>
                <w:b/>
              </w:rPr>
              <w:t>Regulatory Framework</w:t>
            </w:r>
          </w:p>
        </w:tc>
      </w:tr>
      <w:tr w:rsidR="00743986" w:rsidRPr="00306939" w14:paraId="3188ED63" w14:textId="77777777" w:rsidTr="007C2758">
        <w:trPr>
          <w:trHeight w:val="397"/>
        </w:trPr>
        <w:tc>
          <w:tcPr>
            <w:tcW w:w="8926" w:type="dxa"/>
          </w:tcPr>
          <w:p w14:paraId="4A72CF56" w14:textId="4846D378" w:rsidR="00743986" w:rsidRPr="00306939" w:rsidRDefault="004D5846" w:rsidP="007C2758">
            <w:pPr>
              <w:ind w:left="360"/>
              <w:rPr>
                <w:rFonts w:cs="Open Sans"/>
                <w:sz w:val="20"/>
              </w:rPr>
            </w:pPr>
            <w:r>
              <w:rPr>
                <w:rFonts w:cs="Open Sans"/>
                <w:sz w:val="20"/>
              </w:rPr>
              <w:t>FCA Principles, Conduct Rules (COCON), and the SM&amp;CR</w:t>
            </w:r>
          </w:p>
        </w:tc>
      </w:tr>
      <w:tr w:rsidR="00743986" w:rsidRPr="00306939" w14:paraId="5A5CAA4C" w14:textId="77777777" w:rsidTr="007C2758">
        <w:trPr>
          <w:trHeight w:val="397"/>
        </w:trPr>
        <w:tc>
          <w:tcPr>
            <w:tcW w:w="8926" w:type="dxa"/>
          </w:tcPr>
          <w:p w14:paraId="6D07ABF4" w14:textId="5BD546E5" w:rsidR="00743986" w:rsidRPr="00306939" w:rsidRDefault="004D5846" w:rsidP="007C2758">
            <w:pPr>
              <w:ind w:left="360"/>
              <w:rPr>
                <w:rFonts w:cs="Open Sans"/>
                <w:sz w:val="20"/>
              </w:rPr>
            </w:pPr>
            <w:r>
              <w:rPr>
                <w:rFonts w:cs="Open Sans"/>
                <w:sz w:val="20"/>
              </w:rPr>
              <w:t>Consumer Duty, including Consumer Principle, cross-cutting rules, and the four outcomes</w:t>
            </w:r>
          </w:p>
        </w:tc>
      </w:tr>
      <w:tr w:rsidR="00743986" w:rsidRPr="00306939" w14:paraId="403D596E" w14:textId="77777777" w:rsidTr="007C2758">
        <w:trPr>
          <w:trHeight w:val="397"/>
        </w:trPr>
        <w:tc>
          <w:tcPr>
            <w:tcW w:w="8926" w:type="dxa"/>
          </w:tcPr>
          <w:p w14:paraId="2FFE0CC9" w14:textId="59B8D9FB" w:rsidR="00743986" w:rsidRPr="00306939" w:rsidRDefault="004D5846" w:rsidP="007C2758">
            <w:pPr>
              <w:ind w:left="360"/>
              <w:rPr>
                <w:rFonts w:cs="Open Sans"/>
                <w:sz w:val="20"/>
              </w:rPr>
            </w:pPr>
            <w:r>
              <w:rPr>
                <w:rFonts w:cs="Open Sans"/>
                <w:sz w:val="20"/>
              </w:rPr>
              <w:t>Disclosure, suitability, record keeping and compliance obligations (COBS)</w:t>
            </w:r>
          </w:p>
        </w:tc>
      </w:tr>
      <w:tr w:rsidR="004D5846" w:rsidRPr="00306939" w14:paraId="0A329FEF" w14:textId="77777777" w:rsidTr="000F487F">
        <w:trPr>
          <w:trHeight w:val="397"/>
        </w:trPr>
        <w:tc>
          <w:tcPr>
            <w:tcW w:w="8926" w:type="dxa"/>
            <w:shd w:val="clear" w:color="auto" w:fill="000000" w:themeFill="text1"/>
          </w:tcPr>
          <w:p w14:paraId="4C2D8ACC" w14:textId="11ADC973" w:rsidR="004D5846" w:rsidRDefault="004D5846" w:rsidP="004D5846">
            <w:pPr>
              <w:rPr>
                <w:rFonts w:cs="Open Sans"/>
                <w:sz w:val="20"/>
              </w:rPr>
            </w:pPr>
            <w:r w:rsidRPr="004D5846">
              <w:rPr>
                <w:rFonts w:cs="Open Sans"/>
                <w:b/>
              </w:rPr>
              <w:t>Advice Process and Firm Procedures</w:t>
            </w:r>
          </w:p>
        </w:tc>
      </w:tr>
      <w:tr w:rsidR="00743986" w:rsidRPr="00306939" w14:paraId="708DD4F0" w14:textId="77777777" w:rsidTr="007C2758">
        <w:trPr>
          <w:trHeight w:val="397"/>
        </w:trPr>
        <w:tc>
          <w:tcPr>
            <w:tcW w:w="8926" w:type="dxa"/>
          </w:tcPr>
          <w:p w14:paraId="0C9CA5B5" w14:textId="751A6F32" w:rsidR="00743986" w:rsidRPr="00306939" w:rsidRDefault="004D5846" w:rsidP="007C2758">
            <w:pPr>
              <w:ind w:left="360"/>
              <w:rPr>
                <w:rFonts w:cs="Open Sans"/>
                <w:sz w:val="20"/>
              </w:rPr>
            </w:pPr>
            <w:r>
              <w:rPr>
                <w:rFonts w:cs="Open Sans"/>
                <w:sz w:val="20"/>
              </w:rPr>
              <w:t>Client onboarding and fact-finding procedures</w:t>
            </w:r>
          </w:p>
        </w:tc>
      </w:tr>
      <w:tr w:rsidR="00743986" w:rsidRPr="00306939" w14:paraId="7D5E6BE3" w14:textId="77777777" w:rsidTr="007C2758">
        <w:trPr>
          <w:trHeight w:val="397"/>
        </w:trPr>
        <w:tc>
          <w:tcPr>
            <w:tcW w:w="8926" w:type="dxa"/>
          </w:tcPr>
          <w:p w14:paraId="0C2EE045" w14:textId="5C3EDF5D" w:rsidR="00743986" w:rsidRPr="00306939" w:rsidRDefault="004D5846" w:rsidP="007C2758">
            <w:pPr>
              <w:ind w:left="360"/>
              <w:rPr>
                <w:rFonts w:cs="Open Sans"/>
                <w:sz w:val="20"/>
              </w:rPr>
            </w:pPr>
            <w:r>
              <w:rPr>
                <w:rFonts w:cs="Open Sans"/>
                <w:sz w:val="20"/>
              </w:rPr>
              <w:t>Risk profiling and attitude to risk / capacity for loss methodology</w:t>
            </w:r>
          </w:p>
        </w:tc>
      </w:tr>
      <w:tr w:rsidR="00743986" w:rsidRPr="00306939" w14:paraId="6F47450A" w14:textId="77777777" w:rsidTr="007C2758">
        <w:trPr>
          <w:trHeight w:val="397"/>
        </w:trPr>
        <w:tc>
          <w:tcPr>
            <w:tcW w:w="8926" w:type="dxa"/>
          </w:tcPr>
          <w:p w14:paraId="2A5DE5D7" w14:textId="773E1982" w:rsidR="00743986" w:rsidRPr="00306939" w:rsidRDefault="004D5846" w:rsidP="007C2758">
            <w:pPr>
              <w:ind w:left="360"/>
              <w:rPr>
                <w:rFonts w:cs="Open Sans"/>
                <w:sz w:val="20"/>
              </w:rPr>
            </w:pPr>
            <w:r>
              <w:rPr>
                <w:rFonts w:cs="Open Sans"/>
                <w:sz w:val="20"/>
              </w:rPr>
              <w:lastRenderedPageBreak/>
              <w:t>Suitability report standards and documentation requirements</w:t>
            </w:r>
          </w:p>
        </w:tc>
      </w:tr>
      <w:tr w:rsidR="00743986" w:rsidRPr="00306939" w14:paraId="0D765BF9" w14:textId="77777777" w:rsidTr="007C2758">
        <w:trPr>
          <w:trHeight w:val="397"/>
        </w:trPr>
        <w:tc>
          <w:tcPr>
            <w:tcW w:w="8926" w:type="dxa"/>
          </w:tcPr>
          <w:p w14:paraId="1C308BF8" w14:textId="246EA883" w:rsidR="00743986" w:rsidRPr="00306939" w:rsidRDefault="004D5846" w:rsidP="007C2758">
            <w:pPr>
              <w:ind w:left="360"/>
              <w:rPr>
                <w:rFonts w:cs="Open Sans"/>
                <w:sz w:val="20"/>
              </w:rPr>
            </w:pPr>
            <w:r>
              <w:rPr>
                <w:rFonts w:cs="Open Sans"/>
                <w:sz w:val="20"/>
              </w:rPr>
              <w:t>Internal advice standards and file review expectations</w:t>
            </w:r>
          </w:p>
        </w:tc>
      </w:tr>
      <w:tr w:rsidR="00743986" w:rsidRPr="00306939" w14:paraId="42D5B662" w14:textId="77777777" w:rsidTr="000F487F">
        <w:trPr>
          <w:trHeight w:val="397"/>
        </w:trPr>
        <w:tc>
          <w:tcPr>
            <w:tcW w:w="8926" w:type="dxa"/>
            <w:shd w:val="clear" w:color="auto" w:fill="000000" w:themeFill="text1"/>
          </w:tcPr>
          <w:p w14:paraId="10B31FC0" w14:textId="2A397D1C" w:rsidR="00743986" w:rsidRPr="00306939" w:rsidRDefault="004D5846" w:rsidP="004D5846">
            <w:pPr>
              <w:rPr>
                <w:rFonts w:cs="Open Sans"/>
                <w:sz w:val="20"/>
              </w:rPr>
            </w:pPr>
            <w:r w:rsidRPr="004D5846">
              <w:rPr>
                <w:rFonts w:cs="Open Sans"/>
                <w:b/>
              </w:rPr>
              <w:t>Product and Market Knowledge</w:t>
            </w:r>
          </w:p>
        </w:tc>
      </w:tr>
      <w:tr w:rsidR="00743986" w:rsidRPr="00306939" w14:paraId="136DE4F2" w14:textId="77777777" w:rsidTr="007C2758">
        <w:trPr>
          <w:trHeight w:val="397"/>
        </w:trPr>
        <w:tc>
          <w:tcPr>
            <w:tcW w:w="8926" w:type="dxa"/>
          </w:tcPr>
          <w:p w14:paraId="1BC298D5" w14:textId="23EFA004" w:rsidR="00743986" w:rsidRPr="00306939" w:rsidRDefault="004D5846" w:rsidP="007C2758">
            <w:pPr>
              <w:ind w:left="360"/>
              <w:rPr>
                <w:rFonts w:cs="Open Sans"/>
                <w:sz w:val="20"/>
              </w:rPr>
            </w:pPr>
            <w:r>
              <w:rPr>
                <w:rFonts w:cs="Open Sans"/>
                <w:sz w:val="20"/>
              </w:rPr>
              <w:t>Investments: ISAs, GIAs, on/off platform portfolios</w:t>
            </w:r>
            <w:r w:rsidR="00713280">
              <w:rPr>
                <w:rFonts w:cs="Open Sans"/>
                <w:sz w:val="20"/>
              </w:rPr>
              <w:t xml:space="preserve">, Model portfolios, </w:t>
            </w:r>
            <w:proofErr w:type="gramStart"/>
            <w:r w:rsidR="00713280">
              <w:rPr>
                <w:rFonts w:cs="Open Sans"/>
                <w:sz w:val="20"/>
              </w:rPr>
              <w:t>etc</w:t>
            </w:r>
            <w:proofErr w:type="gramEnd"/>
          </w:p>
        </w:tc>
      </w:tr>
      <w:tr w:rsidR="00743986" w:rsidRPr="00023FFC" w14:paraId="5D73DDBB" w14:textId="77777777" w:rsidTr="007C2758">
        <w:trPr>
          <w:trHeight w:val="397"/>
        </w:trPr>
        <w:tc>
          <w:tcPr>
            <w:tcW w:w="8926" w:type="dxa"/>
          </w:tcPr>
          <w:p w14:paraId="4DB96C12" w14:textId="2DA539CA" w:rsidR="00743986" w:rsidRPr="00713280" w:rsidRDefault="00713280" w:rsidP="007C2758">
            <w:pPr>
              <w:ind w:left="360"/>
              <w:rPr>
                <w:rFonts w:cs="Open Sans"/>
                <w:sz w:val="20"/>
                <w:lang w:val="fr-FR"/>
              </w:rPr>
            </w:pPr>
            <w:proofErr w:type="gramStart"/>
            <w:r w:rsidRPr="00713280">
              <w:rPr>
                <w:rFonts w:cs="Open Sans"/>
                <w:sz w:val="20"/>
                <w:lang w:val="fr-FR"/>
              </w:rPr>
              <w:t>Pensions:</w:t>
            </w:r>
            <w:proofErr w:type="gramEnd"/>
            <w:r w:rsidRPr="00713280">
              <w:rPr>
                <w:rFonts w:cs="Open Sans"/>
                <w:sz w:val="20"/>
                <w:lang w:val="fr-FR"/>
              </w:rPr>
              <w:t xml:space="preserve"> accumulation, decumulation, SIPPs, w</w:t>
            </w:r>
            <w:r>
              <w:rPr>
                <w:rFonts w:cs="Open Sans"/>
                <w:sz w:val="20"/>
                <w:lang w:val="fr-FR"/>
              </w:rPr>
              <w:t xml:space="preserve">orkplace </w:t>
            </w:r>
            <w:proofErr w:type="spellStart"/>
            <w:r>
              <w:rPr>
                <w:rFonts w:cs="Open Sans"/>
                <w:sz w:val="20"/>
                <w:lang w:val="fr-FR"/>
              </w:rPr>
              <w:t>schemes</w:t>
            </w:r>
            <w:proofErr w:type="spellEnd"/>
            <w:r>
              <w:rPr>
                <w:rFonts w:cs="Open Sans"/>
                <w:sz w:val="20"/>
                <w:lang w:val="fr-FR"/>
              </w:rPr>
              <w:t xml:space="preserve">, </w:t>
            </w:r>
            <w:proofErr w:type="spellStart"/>
            <w:r>
              <w:rPr>
                <w:rFonts w:cs="Open Sans"/>
                <w:sz w:val="20"/>
                <w:lang w:val="fr-FR"/>
              </w:rPr>
              <w:t>annuities</w:t>
            </w:r>
            <w:proofErr w:type="spellEnd"/>
            <w:r>
              <w:rPr>
                <w:rFonts w:cs="Open Sans"/>
                <w:sz w:val="20"/>
                <w:lang w:val="fr-FR"/>
              </w:rPr>
              <w:t xml:space="preserve">, </w:t>
            </w:r>
            <w:proofErr w:type="spellStart"/>
            <w:r>
              <w:rPr>
                <w:rFonts w:cs="Open Sans"/>
                <w:sz w:val="20"/>
                <w:lang w:val="fr-FR"/>
              </w:rPr>
              <w:t>etc</w:t>
            </w:r>
            <w:proofErr w:type="spellEnd"/>
          </w:p>
        </w:tc>
      </w:tr>
      <w:tr w:rsidR="00743986" w:rsidRPr="00306939" w14:paraId="5A6F60DF" w14:textId="77777777" w:rsidTr="007C2758">
        <w:trPr>
          <w:trHeight w:val="397"/>
        </w:trPr>
        <w:tc>
          <w:tcPr>
            <w:tcW w:w="8926" w:type="dxa"/>
          </w:tcPr>
          <w:p w14:paraId="410E3E0D" w14:textId="0C24C760" w:rsidR="00743986" w:rsidRPr="00306939" w:rsidRDefault="00713280" w:rsidP="007C2758">
            <w:pPr>
              <w:ind w:left="360"/>
              <w:rPr>
                <w:rFonts w:cs="Open Sans"/>
                <w:sz w:val="20"/>
              </w:rPr>
            </w:pPr>
            <w:r>
              <w:rPr>
                <w:rFonts w:cs="Open Sans"/>
                <w:sz w:val="20"/>
              </w:rPr>
              <w:t>Protection and general insurance basics (if in scope)</w:t>
            </w:r>
          </w:p>
        </w:tc>
      </w:tr>
      <w:tr w:rsidR="00743986" w:rsidRPr="00306939" w14:paraId="4B6F55BD" w14:textId="77777777" w:rsidTr="007C2758">
        <w:trPr>
          <w:trHeight w:val="397"/>
        </w:trPr>
        <w:tc>
          <w:tcPr>
            <w:tcW w:w="8926" w:type="dxa"/>
          </w:tcPr>
          <w:p w14:paraId="557A2F24" w14:textId="6EECAA31" w:rsidR="00743986" w:rsidRPr="00306939" w:rsidRDefault="00743986" w:rsidP="007C2758">
            <w:pPr>
              <w:ind w:left="360"/>
              <w:rPr>
                <w:rFonts w:cs="Open Sans"/>
                <w:sz w:val="20"/>
              </w:rPr>
            </w:pPr>
            <w:r w:rsidRPr="00306939">
              <w:rPr>
                <w:rFonts w:cs="Open Sans"/>
                <w:sz w:val="20"/>
              </w:rPr>
              <w:t>M</w:t>
            </w:r>
            <w:r w:rsidR="00713280">
              <w:rPr>
                <w:rFonts w:cs="Open Sans"/>
                <w:sz w:val="20"/>
              </w:rPr>
              <w:t>ortgages (if authorised) and broader market awareness</w:t>
            </w:r>
          </w:p>
        </w:tc>
      </w:tr>
      <w:tr w:rsidR="00743986" w:rsidRPr="00306939" w14:paraId="6D1275CF" w14:textId="77777777" w:rsidTr="000F487F">
        <w:trPr>
          <w:trHeight w:val="397"/>
        </w:trPr>
        <w:tc>
          <w:tcPr>
            <w:tcW w:w="8926" w:type="dxa"/>
            <w:shd w:val="clear" w:color="auto" w:fill="000000" w:themeFill="text1"/>
          </w:tcPr>
          <w:p w14:paraId="09390F73" w14:textId="749CAC1A" w:rsidR="00743986" w:rsidRPr="00306939" w:rsidRDefault="00713280" w:rsidP="00713280">
            <w:pPr>
              <w:rPr>
                <w:rFonts w:cs="Open Sans"/>
                <w:sz w:val="20"/>
              </w:rPr>
            </w:pPr>
            <w:r w:rsidRPr="00713280">
              <w:rPr>
                <w:rFonts w:cs="Open Sans"/>
                <w:b/>
              </w:rPr>
              <w:t>Tax and Financial Planning</w:t>
            </w:r>
          </w:p>
        </w:tc>
      </w:tr>
      <w:tr w:rsidR="00713280" w:rsidRPr="00306939" w14:paraId="54A45293" w14:textId="77777777" w:rsidTr="007C2758">
        <w:trPr>
          <w:trHeight w:val="397"/>
        </w:trPr>
        <w:tc>
          <w:tcPr>
            <w:tcW w:w="8926" w:type="dxa"/>
          </w:tcPr>
          <w:p w14:paraId="54978A5F" w14:textId="18EEF4C3" w:rsidR="00713280" w:rsidRDefault="00713280" w:rsidP="007C2758">
            <w:pPr>
              <w:ind w:left="360"/>
              <w:rPr>
                <w:rFonts w:cs="Open Sans"/>
                <w:sz w:val="20"/>
              </w:rPr>
            </w:pPr>
            <w:r>
              <w:rPr>
                <w:rFonts w:cs="Open Sans"/>
                <w:sz w:val="20"/>
              </w:rPr>
              <w:t>Personal taxation, CGT, IHT basics, allowances, tax wrappers</w:t>
            </w:r>
          </w:p>
        </w:tc>
      </w:tr>
      <w:tr w:rsidR="00713280" w:rsidRPr="00306939" w14:paraId="4022F344" w14:textId="77777777" w:rsidTr="007C2758">
        <w:trPr>
          <w:trHeight w:val="397"/>
        </w:trPr>
        <w:tc>
          <w:tcPr>
            <w:tcW w:w="8926" w:type="dxa"/>
          </w:tcPr>
          <w:p w14:paraId="11E6038D" w14:textId="465FA6A2" w:rsidR="00713280" w:rsidRDefault="00713280" w:rsidP="007C2758">
            <w:pPr>
              <w:ind w:left="360"/>
              <w:rPr>
                <w:rFonts w:cs="Open Sans"/>
                <w:sz w:val="20"/>
              </w:rPr>
            </w:pPr>
            <w:r>
              <w:rPr>
                <w:rFonts w:cs="Open Sans"/>
                <w:sz w:val="20"/>
              </w:rPr>
              <w:t>Retirement income strategies, cashflow modelling, drawdown vs annuity</w:t>
            </w:r>
          </w:p>
        </w:tc>
      </w:tr>
      <w:tr w:rsidR="00713280" w:rsidRPr="00306939" w14:paraId="7F832C98" w14:textId="77777777" w:rsidTr="007C2758">
        <w:trPr>
          <w:trHeight w:val="397"/>
        </w:trPr>
        <w:tc>
          <w:tcPr>
            <w:tcW w:w="8926" w:type="dxa"/>
          </w:tcPr>
          <w:p w14:paraId="19EEF6EA" w14:textId="0F0C6403" w:rsidR="00713280" w:rsidRDefault="00713280" w:rsidP="007C2758">
            <w:pPr>
              <w:ind w:left="360"/>
              <w:rPr>
                <w:rFonts w:cs="Open Sans"/>
                <w:sz w:val="20"/>
              </w:rPr>
            </w:pPr>
            <w:r>
              <w:rPr>
                <w:rFonts w:cs="Open Sans"/>
                <w:sz w:val="20"/>
              </w:rPr>
              <w:t>Estate planning principles and use of trusts (if relevant to firm’s permissions)</w:t>
            </w:r>
          </w:p>
        </w:tc>
      </w:tr>
      <w:tr w:rsidR="00713280" w:rsidRPr="00306939" w14:paraId="37C185B0" w14:textId="77777777" w:rsidTr="000F487F">
        <w:trPr>
          <w:trHeight w:val="397"/>
        </w:trPr>
        <w:tc>
          <w:tcPr>
            <w:tcW w:w="8926" w:type="dxa"/>
            <w:shd w:val="clear" w:color="auto" w:fill="000000" w:themeFill="text1"/>
          </w:tcPr>
          <w:p w14:paraId="659F9FC7" w14:textId="018AAC32" w:rsidR="00713280" w:rsidRDefault="00713280" w:rsidP="00713280">
            <w:pPr>
              <w:rPr>
                <w:rFonts w:cs="Open Sans"/>
                <w:sz w:val="20"/>
              </w:rPr>
            </w:pPr>
            <w:r w:rsidRPr="00713280">
              <w:rPr>
                <w:rFonts w:cs="Open Sans"/>
                <w:b/>
              </w:rPr>
              <w:t>Technology and Systems</w:t>
            </w:r>
          </w:p>
        </w:tc>
      </w:tr>
      <w:tr w:rsidR="00713280" w:rsidRPr="00306939" w14:paraId="1A32DDCB" w14:textId="77777777" w:rsidTr="007C2758">
        <w:trPr>
          <w:trHeight w:val="397"/>
        </w:trPr>
        <w:tc>
          <w:tcPr>
            <w:tcW w:w="8926" w:type="dxa"/>
          </w:tcPr>
          <w:p w14:paraId="1A967C7F" w14:textId="09F9CC04" w:rsidR="00713280" w:rsidRDefault="00713280" w:rsidP="007C2758">
            <w:pPr>
              <w:ind w:left="360"/>
              <w:rPr>
                <w:rFonts w:cs="Open Sans"/>
                <w:sz w:val="20"/>
              </w:rPr>
            </w:pPr>
            <w:r>
              <w:rPr>
                <w:rFonts w:cs="Open Sans"/>
                <w:sz w:val="20"/>
              </w:rPr>
              <w:t xml:space="preserve">Use of internal CRM, </w:t>
            </w:r>
            <w:proofErr w:type="gramStart"/>
            <w:r>
              <w:rPr>
                <w:rFonts w:cs="Open Sans"/>
                <w:sz w:val="20"/>
              </w:rPr>
              <w:t>research</w:t>
            </w:r>
            <w:proofErr w:type="gramEnd"/>
            <w:r>
              <w:rPr>
                <w:rFonts w:cs="Open Sans"/>
                <w:sz w:val="20"/>
              </w:rPr>
              <w:t xml:space="preserve"> and risk profiling tools</w:t>
            </w:r>
          </w:p>
        </w:tc>
      </w:tr>
      <w:tr w:rsidR="00713280" w:rsidRPr="00306939" w14:paraId="0970EE45" w14:textId="77777777" w:rsidTr="007C2758">
        <w:trPr>
          <w:trHeight w:val="397"/>
        </w:trPr>
        <w:tc>
          <w:tcPr>
            <w:tcW w:w="8926" w:type="dxa"/>
          </w:tcPr>
          <w:p w14:paraId="3E421D75" w14:textId="04BD06A7" w:rsidR="00713280" w:rsidRDefault="00713280" w:rsidP="007C2758">
            <w:pPr>
              <w:ind w:left="360"/>
              <w:rPr>
                <w:rFonts w:cs="Open Sans"/>
                <w:sz w:val="20"/>
              </w:rPr>
            </w:pPr>
            <w:r>
              <w:rPr>
                <w:rFonts w:cs="Open Sans"/>
                <w:sz w:val="20"/>
              </w:rPr>
              <w:t>Submission and compliance systems (e.g. pre-approval workflows)</w:t>
            </w:r>
          </w:p>
        </w:tc>
      </w:tr>
      <w:tr w:rsidR="00713280" w:rsidRPr="00306939" w14:paraId="5AA5E606" w14:textId="77777777" w:rsidTr="007C2758">
        <w:trPr>
          <w:trHeight w:val="397"/>
        </w:trPr>
        <w:tc>
          <w:tcPr>
            <w:tcW w:w="8926" w:type="dxa"/>
          </w:tcPr>
          <w:p w14:paraId="0C66B121" w14:textId="0913ABE3" w:rsidR="00713280" w:rsidRDefault="00713280" w:rsidP="007C2758">
            <w:pPr>
              <w:ind w:left="360"/>
              <w:rPr>
                <w:rFonts w:cs="Open Sans"/>
                <w:sz w:val="20"/>
              </w:rPr>
            </w:pPr>
            <w:r>
              <w:rPr>
                <w:rFonts w:cs="Open Sans"/>
                <w:sz w:val="20"/>
              </w:rPr>
              <w:t>Provider platforms and illustration tools</w:t>
            </w:r>
          </w:p>
        </w:tc>
      </w:tr>
      <w:tr w:rsidR="00713280" w:rsidRPr="00306939" w14:paraId="66B70E2B" w14:textId="77777777" w:rsidTr="000F487F">
        <w:trPr>
          <w:trHeight w:val="397"/>
        </w:trPr>
        <w:tc>
          <w:tcPr>
            <w:tcW w:w="8926" w:type="dxa"/>
            <w:shd w:val="clear" w:color="auto" w:fill="000000" w:themeFill="text1"/>
          </w:tcPr>
          <w:p w14:paraId="3B7A87C3" w14:textId="44508007" w:rsidR="00713280" w:rsidRDefault="00713280" w:rsidP="00713280">
            <w:pPr>
              <w:rPr>
                <w:rFonts w:cs="Open Sans"/>
                <w:sz w:val="20"/>
              </w:rPr>
            </w:pPr>
            <w:r w:rsidRPr="00713280">
              <w:rPr>
                <w:rFonts w:cs="Open Sans"/>
                <w:b/>
              </w:rPr>
              <w:t>Professional Standards</w:t>
            </w:r>
          </w:p>
        </w:tc>
      </w:tr>
      <w:tr w:rsidR="00713280" w:rsidRPr="00306939" w14:paraId="0A921D47" w14:textId="77777777" w:rsidTr="007C2758">
        <w:trPr>
          <w:trHeight w:val="397"/>
        </w:trPr>
        <w:tc>
          <w:tcPr>
            <w:tcW w:w="8926" w:type="dxa"/>
          </w:tcPr>
          <w:p w14:paraId="06F1F008" w14:textId="05693CB7" w:rsidR="00713280" w:rsidRDefault="00713280" w:rsidP="007C2758">
            <w:pPr>
              <w:ind w:left="360"/>
              <w:rPr>
                <w:rFonts w:cs="Open Sans"/>
                <w:sz w:val="20"/>
              </w:rPr>
            </w:pPr>
            <w:r>
              <w:rPr>
                <w:rFonts w:cs="Open Sans"/>
                <w:sz w:val="20"/>
              </w:rPr>
              <w:t>FCAs “fit and proper” expectations</w:t>
            </w:r>
          </w:p>
        </w:tc>
      </w:tr>
      <w:tr w:rsidR="00713280" w:rsidRPr="00306939" w14:paraId="285613FF" w14:textId="77777777" w:rsidTr="007C2758">
        <w:trPr>
          <w:trHeight w:val="397"/>
        </w:trPr>
        <w:tc>
          <w:tcPr>
            <w:tcW w:w="8926" w:type="dxa"/>
          </w:tcPr>
          <w:p w14:paraId="26E1325E" w14:textId="547ECDD3" w:rsidR="00713280" w:rsidRDefault="00713280" w:rsidP="007C2758">
            <w:pPr>
              <w:ind w:left="360"/>
              <w:rPr>
                <w:rFonts w:cs="Open Sans"/>
                <w:sz w:val="20"/>
              </w:rPr>
            </w:pPr>
            <w:r>
              <w:rPr>
                <w:rFonts w:cs="Open Sans"/>
                <w:sz w:val="20"/>
              </w:rPr>
              <w:t>CPD, SPS and ethical obligations</w:t>
            </w:r>
          </w:p>
        </w:tc>
      </w:tr>
      <w:tr w:rsidR="00713280" w:rsidRPr="00306939" w14:paraId="2CB9B745" w14:textId="77777777" w:rsidTr="007C2758">
        <w:trPr>
          <w:trHeight w:val="397"/>
        </w:trPr>
        <w:tc>
          <w:tcPr>
            <w:tcW w:w="8926" w:type="dxa"/>
          </w:tcPr>
          <w:p w14:paraId="256848B3" w14:textId="43C768E9" w:rsidR="00713280" w:rsidRDefault="00713280" w:rsidP="007C2758">
            <w:pPr>
              <w:ind w:left="360"/>
              <w:rPr>
                <w:rFonts w:cs="Open Sans"/>
                <w:sz w:val="20"/>
              </w:rPr>
            </w:pPr>
            <w:r>
              <w:rPr>
                <w:rFonts w:cs="Open Sans"/>
                <w:sz w:val="20"/>
              </w:rPr>
              <w:t>GDPR and client confidentiality responsibilities</w:t>
            </w:r>
          </w:p>
        </w:tc>
      </w:tr>
      <w:tr w:rsidR="00713280" w:rsidRPr="00306939" w14:paraId="4FAFD369" w14:textId="77777777" w:rsidTr="000F487F">
        <w:trPr>
          <w:trHeight w:val="397"/>
        </w:trPr>
        <w:tc>
          <w:tcPr>
            <w:tcW w:w="8926" w:type="dxa"/>
            <w:shd w:val="clear" w:color="auto" w:fill="000000" w:themeFill="text1"/>
          </w:tcPr>
          <w:p w14:paraId="68102D89" w14:textId="4B821F1B" w:rsidR="00713280" w:rsidRDefault="00713280" w:rsidP="00713280">
            <w:pPr>
              <w:rPr>
                <w:rFonts w:cs="Open Sans"/>
                <w:sz w:val="20"/>
              </w:rPr>
            </w:pPr>
            <w:r w:rsidRPr="00713280">
              <w:rPr>
                <w:rFonts w:cs="Open Sans"/>
                <w:b/>
              </w:rPr>
              <w:t>Vulnerability</w:t>
            </w:r>
            <w:r>
              <w:rPr>
                <w:rFonts w:cs="Open Sans"/>
                <w:b/>
              </w:rPr>
              <w:t xml:space="preserve"> Considerations</w:t>
            </w:r>
          </w:p>
        </w:tc>
      </w:tr>
      <w:tr w:rsidR="00713280" w:rsidRPr="00306939" w14:paraId="70495968" w14:textId="77777777" w:rsidTr="007C2758">
        <w:trPr>
          <w:trHeight w:val="397"/>
        </w:trPr>
        <w:tc>
          <w:tcPr>
            <w:tcW w:w="8926" w:type="dxa"/>
          </w:tcPr>
          <w:p w14:paraId="1B06D5EB" w14:textId="6D457DDD" w:rsidR="00713280" w:rsidRDefault="00713280" w:rsidP="007C2758">
            <w:pPr>
              <w:ind w:left="360"/>
              <w:rPr>
                <w:rFonts w:cs="Open Sans"/>
                <w:sz w:val="20"/>
              </w:rPr>
            </w:pPr>
            <w:r>
              <w:rPr>
                <w:rFonts w:cs="Open Sans"/>
                <w:sz w:val="20"/>
              </w:rPr>
              <w:t xml:space="preserve">Identifying signs of vulnerability, personalising </w:t>
            </w:r>
            <w:proofErr w:type="gramStart"/>
            <w:r>
              <w:rPr>
                <w:rFonts w:cs="Open Sans"/>
                <w:sz w:val="20"/>
              </w:rPr>
              <w:t>support</w:t>
            </w:r>
            <w:proofErr w:type="gramEnd"/>
            <w:r>
              <w:rPr>
                <w:rFonts w:cs="Open Sans"/>
                <w:sz w:val="20"/>
              </w:rPr>
              <w:t xml:space="preserve"> and ongoing monitoring</w:t>
            </w:r>
          </w:p>
        </w:tc>
      </w:tr>
    </w:tbl>
    <w:p w14:paraId="336343C4" w14:textId="77777777" w:rsidR="004D5846" w:rsidRPr="001B1477" w:rsidRDefault="004D5846" w:rsidP="001B1477">
      <w:pPr>
        <w:jc w:val="left"/>
      </w:pPr>
    </w:p>
    <w:p w14:paraId="32F3AFEC" w14:textId="4AB5CFB9" w:rsidR="00E956EC" w:rsidRDefault="00E956EC" w:rsidP="00E956EC">
      <w:r>
        <w:t xml:space="preserve">Once the supervisor is satisfied that all requirements for ‘Attaining Competence’ have </w:t>
      </w:r>
      <w:proofErr w:type="gramStart"/>
      <w:r>
        <w:t>been satisfactorily met</w:t>
      </w:r>
      <w:proofErr w:type="gramEnd"/>
      <w:r>
        <w:t xml:space="preserve"> (as detailed in the T&amp;C Workbook), evidence should </w:t>
      </w:r>
      <w:proofErr w:type="gramStart"/>
      <w:r>
        <w:t>be submitted</w:t>
      </w:r>
      <w:proofErr w:type="gramEnd"/>
      <w:r>
        <w:t xml:space="preserve"> to </w:t>
      </w:r>
      <w:r w:rsidRPr="00E131A1">
        <w:rPr>
          <w:color w:val="FF0000"/>
        </w:rPr>
        <w:t>[Name, Head of Compliance]</w:t>
      </w:r>
      <w:r>
        <w:rPr>
          <w:color w:val="FF0000"/>
        </w:rPr>
        <w:t xml:space="preserve"> </w:t>
      </w:r>
      <w:r>
        <w:t>for review and sign off</w:t>
      </w:r>
      <w:proofErr w:type="gramStart"/>
      <w:r>
        <w:t xml:space="preserve">.  </w:t>
      </w:r>
      <w:proofErr w:type="gramEnd"/>
      <w:r>
        <w:t xml:space="preserve">Only once this approval has </w:t>
      </w:r>
      <w:proofErr w:type="gramStart"/>
      <w:r>
        <w:t>been granted</w:t>
      </w:r>
      <w:proofErr w:type="gramEnd"/>
      <w:r>
        <w:t xml:space="preserve"> is the individual allowed to </w:t>
      </w:r>
      <w:proofErr w:type="gramStart"/>
      <w:r w:rsidR="00333518">
        <w:t>be signed</w:t>
      </w:r>
      <w:proofErr w:type="gramEnd"/>
      <w:r w:rsidR="00333518">
        <w:t xml:space="preserve"> off and considered to have achieved ‘Competent Adviser Status</w:t>
      </w:r>
      <w:proofErr w:type="gramStart"/>
      <w:r w:rsidR="00333518">
        <w:t>’.</w:t>
      </w:r>
      <w:proofErr w:type="gramEnd"/>
    </w:p>
    <w:p w14:paraId="50142FCF" w14:textId="3A4B710B" w:rsidR="00333518" w:rsidRDefault="00333518" w:rsidP="00E956EC">
      <w:r>
        <w:t>At this point, the adviser must be issued with a ‘Competent Adviser’ letter to confirm the date of sign off along with clarity of their authorised permissions.</w:t>
      </w:r>
    </w:p>
    <w:p w14:paraId="61F83582" w14:textId="77777777" w:rsidR="00D32A79" w:rsidRDefault="00D32A79" w:rsidP="00E956EC"/>
    <w:p w14:paraId="275E1EDB" w14:textId="04534BCC" w:rsidR="00333518" w:rsidRPr="000F487F" w:rsidRDefault="00333518" w:rsidP="00333518">
      <w:pPr>
        <w:pStyle w:val="Heading2"/>
        <w:rPr>
          <w:color w:val="auto"/>
        </w:rPr>
      </w:pPr>
      <w:bookmarkStart w:id="10" w:name="_Toc199838627"/>
      <w:r w:rsidRPr="000F487F">
        <w:rPr>
          <w:color w:val="auto"/>
        </w:rPr>
        <w:t>Statements of Professional Standing (SPS)</w:t>
      </w:r>
      <w:bookmarkEnd w:id="10"/>
    </w:p>
    <w:p w14:paraId="694C9F28" w14:textId="77777777" w:rsidR="00C23F5C" w:rsidRDefault="00C23F5C" w:rsidP="00333518">
      <w:r>
        <w:t>The FCA states that:</w:t>
      </w:r>
    </w:p>
    <w:p w14:paraId="14105A4F" w14:textId="77777777" w:rsidR="00C23F5C" w:rsidRDefault="00C23F5C" w:rsidP="00333518"/>
    <w:p w14:paraId="1FFEF59D" w14:textId="666B59B5" w:rsidR="00C23F5C" w:rsidRDefault="00C23F5C" w:rsidP="00333518">
      <w:pPr>
        <w:rPr>
          <w:i/>
          <w:iCs/>
        </w:rPr>
      </w:pPr>
      <w:r w:rsidRPr="00C23F5C">
        <w:rPr>
          <w:i/>
          <w:iCs/>
        </w:rPr>
        <w:lastRenderedPageBreak/>
        <w:t>"A retail investment adviser must not provide a personal recommendation on retail investment products to a retail client unless the retail investment adviser holds a valid statement of professional standing."</w:t>
      </w:r>
    </w:p>
    <w:p w14:paraId="3D0946A7" w14:textId="77777777" w:rsidR="00C23F5C" w:rsidRPr="00C23F5C" w:rsidRDefault="00C23F5C" w:rsidP="00333518">
      <w:pPr>
        <w:rPr>
          <w:i/>
          <w:iCs/>
        </w:rPr>
      </w:pPr>
    </w:p>
    <w:p w14:paraId="66A8198C" w14:textId="345E7D8D" w:rsidR="00333518" w:rsidRDefault="00333518" w:rsidP="00333518">
      <w:r>
        <w:t>All advisers, whether attaining or maintaining competence, should hold a current SPS</w:t>
      </w:r>
      <w:proofErr w:type="gramStart"/>
      <w:r w:rsidR="00C23F5C">
        <w:t xml:space="preserve">.  </w:t>
      </w:r>
      <w:proofErr w:type="gramEnd"/>
      <w:r w:rsidR="00C23F5C">
        <w:t xml:space="preserve">This can </w:t>
      </w:r>
      <w:proofErr w:type="gramStart"/>
      <w:r w:rsidR="00C23F5C">
        <w:t>be obtained</w:t>
      </w:r>
      <w:proofErr w:type="gramEnd"/>
      <w:r w:rsidR="00C23F5C">
        <w:t xml:space="preserve"> by applying individually from the relevant accredited body </w:t>
      </w:r>
      <w:r>
        <w:t>(e.g. CII, LIBF).</w:t>
      </w:r>
      <w:r w:rsidR="00C23F5C">
        <w:t xml:space="preserve"> Unless this has </w:t>
      </w:r>
      <w:proofErr w:type="gramStart"/>
      <w:r w:rsidR="00C23F5C">
        <w:t>been obtained</w:t>
      </w:r>
      <w:proofErr w:type="gramEnd"/>
      <w:r w:rsidR="00C23F5C">
        <w:t xml:space="preserve"> and a copy provided to Compliance, advisers are </w:t>
      </w:r>
      <w:r w:rsidR="00C23F5C" w:rsidRPr="00C23F5C">
        <w:rPr>
          <w:b/>
          <w:bCs/>
        </w:rPr>
        <w:t>not authorised</w:t>
      </w:r>
      <w:r w:rsidR="00C23F5C">
        <w:t xml:space="preserve"> to provide any personal recommendations to clients.</w:t>
      </w:r>
    </w:p>
    <w:p w14:paraId="2270A13E" w14:textId="0859A609" w:rsidR="00C23F5C" w:rsidRDefault="00C23F5C" w:rsidP="00333518"/>
    <w:p w14:paraId="1C2E2C5F" w14:textId="18D157A6" w:rsidR="00C23F5C" w:rsidRPr="00333518" w:rsidRDefault="00C23F5C" w:rsidP="00333518">
      <w:r w:rsidRPr="00C23F5C">
        <w:t xml:space="preserve">Once an adviser has obtained an SPS, the FCA requires that it </w:t>
      </w:r>
      <w:proofErr w:type="gramStart"/>
      <w:r w:rsidRPr="00C23F5C">
        <w:t>be renewed</w:t>
      </w:r>
      <w:proofErr w:type="gramEnd"/>
      <w:r w:rsidRPr="00C23F5C">
        <w:t xml:space="preserve"> every 12 months and no later than 60 days from the anniversary of attaining competence</w:t>
      </w:r>
      <w:proofErr w:type="gramStart"/>
      <w:r w:rsidRPr="00C23F5C">
        <w:t>.</w:t>
      </w:r>
      <w:r>
        <w:t xml:space="preserve">  </w:t>
      </w:r>
      <w:proofErr w:type="gramEnd"/>
      <w:r>
        <w:t>It is the responsibility of each adviser to renew their own SPS and provide an updated certificate to Compliance.</w:t>
      </w:r>
    </w:p>
    <w:p w14:paraId="79D25EEA" w14:textId="77777777" w:rsidR="00953305" w:rsidRDefault="00953305" w:rsidP="00644125"/>
    <w:p w14:paraId="62508963" w14:textId="77777777" w:rsidR="00743986" w:rsidRPr="000F487F" w:rsidRDefault="00743986" w:rsidP="00743986">
      <w:pPr>
        <w:pStyle w:val="Heading2"/>
        <w:rPr>
          <w:color w:val="auto"/>
        </w:rPr>
      </w:pPr>
      <w:bookmarkStart w:id="11" w:name="_Toc199838628"/>
      <w:r w:rsidRPr="000F487F">
        <w:rPr>
          <w:color w:val="auto"/>
        </w:rPr>
        <w:t>Maintaining Competence</w:t>
      </w:r>
      <w:bookmarkEnd w:id="11"/>
    </w:p>
    <w:p w14:paraId="2C8DF59F" w14:textId="46B373E8" w:rsidR="00743986" w:rsidRPr="000F487F" w:rsidRDefault="00743986" w:rsidP="00743986">
      <w:pPr>
        <w:pStyle w:val="Heading3"/>
        <w:rPr>
          <w:color w:val="auto"/>
        </w:rPr>
      </w:pPr>
      <w:bookmarkStart w:id="12" w:name="_Toc199838629"/>
      <w:r w:rsidRPr="000F487F">
        <w:rPr>
          <w:color w:val="auto"/>
        </w:rPr>
        <w:t>Ongoing Supervision and Trigger Based Oversight</w:t>
      </w:r>
      <w:bookmarkEnd w:id="12"/>
    </w:p>
    <w:p w14:paraId="726DEDD0" w14:textId="77777777" w:rsidR="00743986" w:rsidRPr="00743986" w:rsidRDefault="00743986" w:rsidP="00743986">
      <w:r w:rsidRPr="00743986">
        <w:t xml:space="preserve">Once an adviser has </w:t>
      </w:r>
      <w:proofErr w:type="gramStart"/>
      <w:r w:rsidRPr="00743986">
        <w:t>been assessed</w:t>
      </w:r>
      <w:proofErr w:type="gramEnd"/>
      <w:r w:rsidRPr="00743986">
        <w:t xml:space="preserve"> as competent, they transition into the Maintaining Competence phase of the Training &amp; Competence framework. In this phase, individuals </w:t>
      </w:r>
      <w:proofErr w:type="gramStart"/>
      <w:r w:rsidRPr="00743986">
        <w:t>are trusted</w:t>
      </w:r>
      <w:proofErr w:type="gramEnd"/>
      <w:r w:rsidRPr="00743986">
        <w:t xml:space="preserve"> to provide advice without direct supervision but remain subject to regular monitoring and development to ensure continued performance and regulatory compliance.</w:t>
      </w:r>
    </w:p>
    <w:p w14:paraId="7E493F5E" w14:textId="4B558EE0" w:rsidR="00743986" w:rsidRPr="00743986" w:rsidRDefault="00743986" w:rsidP="00743986">
      <w:r w:rsidRPr="00743986">
        <w:t xml:space="preserve">The standard expectation is that all competent advisers will </w:t>
      </w:r>
      <w:proofErr w:type="gramStart"/>
      <w:r w:rsidRPr="00743986">
        <w:t>be supervised</w:t>
      </w:r>
      <w:proofErr w:type="gramEnd"/>
      <w:r w:rsidRPr="00743986">
        <w:t xml:space="preserve"> on a trigger-responsive basis. While a baseline level of oversight applies to all, any emerging </w:t>
      </w:r>
      <w:proofErr w:type="gramStart"/>
      <w:r w:rsidRPr="00743986">
        <w:t>risks</w:t>
      </w:r>
      <w:proofErr w:type="gramEnd"/>
      <w:r w:rsidRPr="00743986">
        <w:t xml:space="preserve"> or issues</w:t>
      </w:r>
      <w:r>
        <w:t xml:space="preserve">, </w:t>
      </w:r>
      <w:r w:rsidRPr="00743986">
        <w:t>referred to as ‘trigger events</w:t>
      </w:r>
      <w:proofErr w:type="gramStart"/>
      <w:r w:rsidRPr="00743986">
        <w:t>’</w:t>
      </w:r>
      <w:r>
        <w:t>,</w:t>
      </w:r>
      <w:proofErr w:type="gramEnd"/>
      <w:r>
        <w:t xml:space="preserve"> </w:t>
      </w:r>
      <w:r w:rsidRPr="00743986">
        <w:t>may prompt an enhanced level of supervision.</w:t>
      </w:r>
    </w:p>
    <w:p w14:paraId="5B10EE43" w14:textId="2C570689" w:rsidR="00743986" w:rsidRPr="00743986" w:rsidRDefault="00743986" w:rsidP="00743986"/>
    <w:p w14:paraId="33915695" w14:textId="77777777" w:rsidR="00743986" w:rsidRPr="00743986" w:rsidRDefault="00743986" w:rsidP="00743986">
      <w:pPr>
        <w:rPr>
          <w:b/>
          <w:bCs/>
        </w:rPr>
      </w:pPr>
      <w:r w:rsidRPr="00743986">
        <w:rPr>
          <w:b/>
          <w:bCs/>
        </w:rPr>
        <w:t>Standard Oversight Activities</w:t>
      </w:r>
    </w:p>
    <w:p w14:paraId="69B36E97" w14:textId="77777777" w:rsidR="00743986" w:rsidRDefault="00743986" w:rsidP="00743986">
      <w:r w:rsidRPr="00743986">
        <w:t>Competent advisers will be subject to a structured programme of T&amp;C activity, including:</w:t>
      </w:r>
    </w:p>
    <w:p w14:paraId="729A7A4B" w14:textId="77777777" w:rsidR="00743986" w:rsidRPr="00743986" w:rsidRDefault="00743986" w:rsidP="00743986"/>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8"/>
        <w:gridCol w:w="5708"/>
      </w:tblGrid>
      <w:tr w:rsidR="00743986" w:rsidRPr="00743986" w14:paraId="23DF0E8B" w14:textId="77777777" w:rsidTr="000F487F">
        <w:trPr>
          <w:tblHeader/>
          <w:tblCellSpacing w:w="15" w:type="dxa"/>
        </w:trPr>
        <w:tc>
          <w:tcPr>
            <w:tcW w:w="0" w:type="auto"/>
            <w:shd w:val="clear" w:color="auto" w:fill="000000" w:themeFill="text1"/>
            <w:vAlign w:val="center"/>
            <w:hideMark/>
          </w:tcPr>
          <w:p w14:paraId="23A6763E" w14:textId="77777777" w:rsidR="00743986" w:rsidRPr="00743986" w:rsidRDefault="00743986" w:rsidP="00743986">
            <w:pPr>
              <w:rPr>
                <w:b/>
                <w:bCs/>
              </w:rPr>
            </w:pPr>
            <w:r w:rsidRPr="00743986">
              <w:rPr>
                <w:b/>
                <w:bCs/>
              </w:rPr>
              <w:t>Activity</w:t>
            </w:r>
          </w:p>
        </w:tc>
        <w:tc>
          <w:tcPr>
            <w:tcW w:w="0" w:type="auto"/>
            <w:shd w:val="clear" w:color="auto" w:fill="000000" w:themeFill="text1"/>
            <w:vAlign w:val="center"/>
            <w:hideMark/>
          </w:tcPr>
          <w:p w14:paraId="4412E4C4" w14:textId="77777777" w:rsidR="00743986" w:rsidRPr="00743986" w:rsidRDefault="00743986" w:rsidP="00743986">
            <w:pPr>
              <w:rPr>
                <w:b/>
                <w:bCs/>
              </w:rPr>
            </w:pPr>
            <w:r w:rsidRPr="00743986">
              <w:rPr>
                <w:b/>
                <w:bCs/>
              </w:rPr>
              <w:t>Standard Frequency</w:t>
            </w:r>
          </w:p>
        </w:tc>
      </w:tr>
      <w:tr w:rsidR="00743986" w:rsidRPr="00743986" w14:paraId="51C058DF" w14:textId="77777777" w:rsidTr="00743986">
        <w:trPr>
          <w:tblCellSpacing w:w="15" w:type="dxa"/>
        </w:trPr>
        <w:tc>
          <w:tcPr>
            <w:tcW w:w="0" w:type="auto"/>
            <w:vAlign w:val="center"/>
            <w:hideMark/>
          </w:tcPr>
          <w:p w14:paraId="3F3DAE15" w14:textId="77777777" w:rsidR="00743986" w:rsidRPr="00743986" w:rsidRDefault="00743986" w:rsidP="00743986">
            <w:r w:rsidRPr="00743986">
              <w:t>1:1 Supervision Meetings</w:t>
            </w:r>
          </w:p>
        </w:tc>
        <w:tc>
          <w:tcPr>
            <w:tcW w:w="0" w:type="auto"/>
            <w:vAlign w:val="center"/>
            <w:hideMark/>
          </w:tcPr>
          <w:p w14:paraId="3C4C2F53" w14:textId="77777777" w:rsidR="00743986" w:rsidRPr="00743986" w:rsidRDefault="00743986" w:rsidP="00743986">
            <w:r w:rsidRPr="00743986">
              <w:t>Quarterly (minimum)</w:t>
            </w:r>
          </w:p>
        </w:tc>
      </w:tr>
      <w:tr w:rsidR="00743986" w:rsidRPr="00743986" w14:paraId="0F8A416A" w14:textId="77777777" w:rsidTr="00743986">
        <w:trPr>
          <w:tblCellSpacing w:w="15" w:type="dxa"/>
        </w:trPr>
        <w:tc>
          <w:tcPr>
            <w:tcW w:w="0" w:type="auto"/>
            <w:vAlign w:val="center"/>
            <w:hideMark/>
          </w:tcPr>
          <w:p w14:paraId="5B1E350F" w14:textId="77777777" w:rsidR="00743986" w:rsidRPr="00743986" w:rsidRDefault="00743986" w:rsidP="00743986">
            <w:r w:rsidRPr="00743986">
              <w:t>KPI Reviews</w:t>
            </w:r>
          </w:p>
        </w:tc>
        <w:tc>
          <w:tcPr>
            <w:tcW w:w="0" w:type="auto"/>
            <w:vAlign w:val="center"/>
            <w:hideMark/>
          </w:tcPr>
          <w:p w14:paraId="30E65651" w14:textId="77777777" w:rsidR="00743986" w:rsidRPr="00743986" w:rsidRDefault="00743986" w:rsidP="00743986">
            <w:r w:rsidRPr="00743986">
              <w:t>Quarterly, with focus on advice quality, client outcomes, and persistency</w:t>
            </w:r>
          </w:p>
        </w:tc>
      </w:tr>
      <w:tr w:rsidR="00743986" w:rsidRPr="00743986" w14:paraId="39AB348E" w14:textId="77777777" w:rsidTr="00743986">
        <w:trPr>
          <w:tblCellSpacing w:w="15" w:type="dxa"/>
        </w:trPr>
        <w:tc>
          <w:tcPr>
            <w:tcW w:w="0" w:type="auto"/>
            <w:vAlign w:val="center"/>
            <w:hideMark/>
          </w:tcPr>
          <w:p w14:paraId="45FC26C5" w14:textId="77777777" w:rsidR="00743986" w:rsidRPr="00743986" w:rsidRDefault="00743986" w:rsidP="00743986">
            <w:r w:rsidRPr="00743986">
              <w:t>Technical Assessments</w:t>
            </w:r>
          </w:p>
        </w:tc>
        <w:tc>
          <w:tcPr>
            <w:tcW w:w="0" w:type="auto"/>
            <w:vAlign w:val="center"/>
            <w:hideMark/>
          </w:tcPr>
          <w:p w14:paraId="7568344C" w14:textId="1179F46F" w:rsidR="00743986" w:rsidRPr="00743986" w:rsidRDefault="00743986" w:rsidP="00743986">
            <w:r w:rsidRPr="00743986">
              <w:t>Annually or as required by role (e.g. product updates, exams)</w:t>
            </w:r>
          </w:p>
        </w:tc>
      </w:tr>
      <w:tr w:rsidR="00743986" w:rsidRPr="00743986" w14:paraId="4400727C" w14:textId="77777777" w:rsidTr="00743986">
        <w:trPr>
          <w:tblCellSpacing w:w="15" w:type="dxa"/>
        </w:trPr>
        <w:tc>
          <w:tcPr>
            <w:tcW w:w="0" w:type="auto"/>
            <w:vAlign w:val="center"/>
            <w:hideMark/>
          </w:tcPr>
          <w:p w14:paraId="780C099E" w14:textId="77777777" w:rsidR="00743986" w:rsidRPr="00743986" w:rsidRDefault="00743986" w:rsidP="00743986">
            <w:pPr>
              <w:jc w:val="left"/>
            </w:pPr>
            <w:r w:rsidRPr="00743986">
              <w:lastRenderedPageBreak/>
              <w:t>Observed Meetings (Skills Assessment)</w:t>
            </w:r>
          </w:p>
        </w:tc>
        <w:tc>
          <w:tcPr>
            <w:tcW w:w="0" w:type="auto"/>
            <w:vAlign w:val="center"/>
            <w:hideMark/>
          </w:tcPr>
          <w:p w14:paraId="00D9F108" w14:textId="77777777" w:rsidR="00743986" w:rsidRPr="00743986" w:rsidRDefault="00743986" w:rsidP="00743986">
            <w:r w:rsidRPr="00743986">
              <w:t>One fact-find and one presentation annually, or as needed</w:t>
            </w:r>
          </w:p>
        </w:tc>
      </w:tr>
      <w:tr w:rsidR="00743986" w:rsidRPr="00743986" w14:paraId="103E164C" w14:textId="77777777" w:rsidTr="00743986">
        <w:trPr>
          <w:tblCellSpacing w:w="15" w:type="dxa"/>
        </w:trPr>
        <w:tc>
          <w:tcPr>
            <w:tcW w:w="0" w:type="auto"/>
            <w:vAlign w:val="center"/>
            <w:hideMark/>
          </w:tcPr>
          <w:p w14:paraId="6034C9D3" w14:textId="77777777" w:rsidR="00743986" w:rsidRPr="00743986" w:rsidRDefault="00743986" w:rsidP="00743986">
            <w:r w:rsidRPr="00743986">
              <w:t>File Reviews</w:t>
            </w:r>
          </w:p>
        </w:tc>
        <w:tc>
          <w:tcPr>
            <w:tcW w:w="0" w:type="auto"/>
            <w:vAlign w:val="center"/>
            <w:hideMark/>
          </w:tcPr>
          <w:p w14:paraId="642F9398" w14:textId="77777777" w:rsidR="00743986" w:rsidRPr="00743986" w:rsidRDefault="00743986" w:rsidP="00743986">
            <w:r w:rsidRPr="00743986">
              <w:t>Minimum 10% of new business files reviewed post-sale</w:t>
            </w:r>
          </w:p>
        </w:tc>
      </w:tr>
      <w:tr w:rsidR="00743986" w:rsidRPr="00743986" w14:paraId="68AFA26B" w14:textId="77777777" w:rsidTr="00743986">
        <w:trPr>
          <w:tblCellSpacing w:w="15" w:type="dxa"/>
        </w:trPr>
        <w:tc>
          <w:tcPr>
            <w:tcW w:w="0" w:type="auto"/>
            <w:vAlign w:val="center"/>
            <w:hideMark/>
          </w:tcPr>
          <w:p w14:paraId="38EA208D" w14:textId="77777777" w:rsidR="00743986" w:rsidRPr="00743986" w:rsidRDefault="00743986" w:rsidP="00743986">
            <w:r w:rsidRPr="00743986">
              <w:t>CPD Monitoring</w:t>
            </w:r>
          </w:p>
        </w:tc>
        <w:tc>
          <w:tcPr>
            <w:tcW w:w="0" w:type="auto"/>
            <w:vAlign w:val="center"/>
            <w:hideMark/>
          </w:tcPr>
          <w:p w14:paraId="08EF8AE1" w14:textId="77777777" w:rsidR="00743986" w:rsidRPr="00743986" w:rsidRDefault="00743986" w:rsidP="00743986">
            <w:r w:rsidRPr="00743986">
              <w:t>Reviewed as part of each supervision meeting</w:t>
            </w:r>
          </w:p>
        </w:tc>
      </w:tr>
      <w:tr w:rsidR="00743986" w:rsidRPr="00743986" w14:paraId="259F9F0F" w14:textId="77777777" w:rsidTr="00743986">
        <w:trPr>
          <w:tblCellSpacing w:w="15" w:type="dxa"/>
        </w:trPr>
        <w:tc>
          <w:tcPr>
            <w:tcW w:w="0" w:type="auto"/>
            <w:vAlign w:val="center"/>
            <w:hideMark/>
          </w:tcPr>
          <w:p w14:paraId="34F6C40E" w14:textId="77777777" w:rsidR="00743986" w:rsidRPr="00743986" w:rsidRDefault="00743986" w:rsidP="00743986">
            <w:pPr>
              <w:jc w:val="left"/>
            </w:pPr>
            <w:r w:rsidRPr="00743986">
              <w:t>TNA and Development Plan Review</w:t>
            </w:r>
          </w:p>
        </w:tc>
        <w:tc>
          <w:tcPr>
            <w:tcW w:w="0" w:type="auto"/>
            <w:vAlign w:val="center"/>
            <w:hideMark/>
          </w:tcPr>
          <w:p w14:paraId="79CC171D" w14:textId="0413EAFB" w:rsidR="00743986" w:rsidRPr="00743986" w:rsidRDefault="00743986" w:rsidP="00743986">
            <w:r>
              <w:t>Reviewed at 1:1 meetings,</w:t>
            </w:r>
            <w:r w:rsidRPr="00743986">
              <w:t xml:space="preserve"> or when updated following a trigger event</w:t>
            </w:r>
          </w:p>
        </w:tc>
      </w:tr>
    </w:tbl>
    <w:p w14:paraId="77A5CF19" w14:textId="77777777" w:rsidR="00743986" w:rsidRPr="00743986" w:rsidRDefault="00743986" w:rsidP="00743986">
      <w:r w:rsidRPr="00743986">
        <w:t>These activities provide evidence that the adviser is continuing to meet regulatory requirements, client expectations, and internal standards.</w:t>
      </w:r>
    </w:p>
    <w:p w14:paraId="2F06EB51" w14:textId="0B2A5164" w:rsidR="00743986" w:rsidRPr="00743986" w:rsidRDefault="00743986" w:rsidP="00743986"/>
    <w:p w14:paraId="377E585F" w14:textId="77777777" w:rsidR="00743986" w:rsidRPr="00743986" w:rsidRDefault="00743986" w:rsidP="00743986">
      <w:r w:rsidRPr="00743986">
        <w:rPr>
          <w:b/>
          <w:bCs/>
        </w:rPr>
        <w:t>Trigger-Based Supervision</w:t>
      </w:r>
    </w:p>
    <w:p w14:paraId="0510F51B" w14:textId="77777777" w:rsidR="00743986" w:rsidRPr="00743986" w:rsidRDefault="00743986" w:rsidP="00743986">
      <w:r w:rsidRPr="00743986">
        <w:t xml:space="preserve">In addition to routine monitoring, advisers may </w:t>
      </w:r>
      <w:proofErr w:type="gramStart"/>
      <w:r w:rsidRPr="00743986">
        <w:t>be placed</w:t>
      </w:r>
      <w:proofErr w:type="gramEnd"/>
      <w:r w:rsidRPr="00743986">
        <w:t xml:space="preserve"> under increased oversight if specific risk indicators </w:t>
      </w:r>
      <w:proofErr w:type="gramStart"/>
      <w:r w:rsidRPr="00743986">
        <w:t>are identified</w:t>
      </w:r>
      <w:proofErr w:type="gramEnd"/>
      <w:r w:rsidRPr="00743986">
        <w:t xml:space="preserve">. These trigger events may include (but </w:t>
      </w:r>
      <w:proofErr w:type="gramStart"/>
      <w:r w:rsidRPr="00743986">
        <w:t>are not limited</w:t>
      </w:r>
      <w:proofErr w:type="gramEnd"/>
      <w:r w:rsidRPr="00743986">
        <w:t xml:space="preserve"> to):</w:t>
      </w:r>
    </w:p>
    <w:p w14:paraId="7697AFF2" w14:textId="772B261B" w:rsidR="00743986" w:rsidRPr="00743986" w:rsidRDefault="00743986" w:rsidP="006839B9">
      <w:pPr>
        <w:numPr>
          <w:ilvl w:val="0"/>
          <w:numId w:val="21"/>
        </w:numPr>
      </w:pPr>
      <w:r w:rsidRPr="00743986">
        <w:t>Performance data falling outside acceptable KPI thresholds (e.g. drop in file quality, increased NTUs or cancellations)</w:t>
      </w:r>
    </w:p>
    <w:p w14:paraId="3445DE63" w14:textId="77777777" w:rsidR="00743986" w:rsidRPr="00743986" w:rsidRDefault="00743986" w:rsidP="006839B9">
      <w:pPr>
        <w:numPr>
          <w:ilvl w:val="0"/>
          <w:numId w:val="21"/>
        </w:numPr>
      </w:pPr>
      <w:r w:rsidRPr="00743986">
        <w:t>Technical assessment failure or knowledge gaps highlighted in testing</w:t>
      </w:r>
    </w:p>
    <w:p w14:paraId="77713F06" w14:textId="77777777" w:rsidR="00743986" w:rsidRPr="00743986" w:rsidRDefault="00743986" w:rsidP="006839B9">
      <w:pPr>
        <w:numPr>
          <w:ilvl w:val="0"/>
          <w:numId w:val="21"/>
        </w:numPr>
      </w:pPr>
      <w:r w:rsidRPr="00743986">
        <w:t>Skills assessments rated as ‘development needed’ or ‘not competent’</w:t>
      </w:r>
    </w:p>
    <w:p w14:paraId="4E8BB8D3" w14:textId="4D61E121" w:rsidR="00743986" w:rsidRPr="00743986" w:rsidRDefault="00743986" w:rsidP="006839B9">
      <w:pPr>
        <w:numPr>
          <w:ilvl w:val="0"/>
          <w:numId w:val="21"/>
        </w:numPr>
      </w:pPr>
      <w:r w:rsidRPr="00743986">
        <w:t>Client file reviews graded below internal standards (e.g. more than 20% graded below expected level or any serious breaches identified)</w:t>
      </w:r>
    </w:p>
    <w:p w14:paraId="10F4F19E" w14:textId="77777777" w:rsidR="00965D34" w:rsidRDefault="00743986" w:rsidP="006839B9">
      <w:pPr>
        <w:numPr>
          <w:ilvl w:val="0"/>
          <w:numId w:val="21"/>
        </w:numPr>
      </w:pPr>
      <w:r w:rsidRPr="00743986">
        <w:t>Receipt of a complaint, especially where upheld or related to advice conduct</w:t>
      </w:r>
    </w:p>
    <w:p w14:paraId="027CAEBE" w14:textId="5171AC89" w:rsidR="00965D34" w:rsidRDefault="00743986" w:rsidP="006839B9">
      <w:pPr>
        <w:numPr>
          <w:ilvl w:val="0"/>
          <w:numId w:val="21"/>
        </w:numPr>
      </w:pPr>
      <w:r w:rsidRPr="00743986">
        <w:t xml:space="preserve">Inadequate CPD records </w:t>
      </w:r>
      <w:r w:rsidR="00965D34">
        <w:t xml:space="preserve">- 35 hours per annum CPD (a minimum of 21 hours structured professional development activities) </w:t>
      </w:r>
    </w:p>
    <w:p w14:paraId="2BAE517C" w14:textId="187BD5B9" w:rsidR="00743986" w:rsidRDefault="00965D34" w:rsidP="006839B9">
      <w:pPr>
        <w:numPr>
          <w:ilvl w:val="0"/>
          <w:numId w:val="21"/>
        </w:numPr>
      </w:pPr>
      <w:r>
        <w:t>F</w:t>
      </w:r>
      <w:r w:rsidR="00743986" w:rsidRPr="00743986">
        <w:t>ailure to renew professional accreditation (e.g. SPS expiry)</w:t>
      </w:r>
    </w:p>
    <w:p w14:paraId="17919B68" w14:textId="77777777" w:rsidR="00743986" w:rsidRPr="00743986" w:rsidRDefault="00743986" w:rsidP="00743986"/>
    <w:p w14:paraId="5978D990" w14:textId="77777777" w:rsidR="00743986" w:rsidRPr="00743986" w:rsidRDefault="00743986" w:rsidP="00743986">
      <w:pPr>
        <w:rPr>
          <w:b/>
          <w:bCs/>
        </w:rPr>
      </w:pPr>
      <w:r w:rsidRPr="00743986">
        <w:rPr>
          <w:b/>
          <w:bCs/>
        </w:rPr>
        <w:t>Response to Trigger Events</w:t>
      </w:r>
    </w:p>
    <w:p w14:paraId="0C3F4926" w14:textId="77777777" w:rsidR="00743986" w:rsidRPr="00743986" w:rsidRDefault="00743986" w:rsidP="00743986">
      <w:r w:rsidRPr="00743986">
        <w:t xml:space="preserve">When a trigger </w:t>
      </w:r>
      <w:proofErr w:type="gramStart"/>
      <w:r w:rsidRPr="00743986">
        <w:t>is activated</w:t>
      </w:r>
      <w:proofErr w:type="gramEnd"/>
      <w:r w:rsidRPr="00743986">
        <w:t>, the supervisor or compliance team will take the following actions:</w:t>
      </w:r>
    </w:p>
    <w:p w14:paraId="72E5F67E" w14:textId="77777777" w:rsidR="00743986" w:rsidRPr="00743986" w:rsidRDefault="00743986" w:rsidP="006839B9">
      <w:pPr>
        <w:numPr>
          <w:ilvl w:val="0"/>
          <w:numId w:val="22"/>
        </w:numPr>
      </w:pPr>
      <w:r w:rsidRPr="00743986">
        <w:rPr>
          <w:b/>
          <w:bCs/>
        </w:rPr>
        <w:t>Investigate and Engage:</w:t>
      </w:r>
      <w:r w:rsidRPr="00743986">
        <w:t xml:space="preserve"> Meet with the adviser to understand the context of the trigger and identify any root causes</w:t>
      </w:r>
    </w:p>
    <w:p w14:paraId="7B2E28BF" w14:textId="77777777" w:rsidR="00743986" w:rsidRPr="00743986" w:rsidRDefault="00743986" w:rsidP="006839B9">
      <w:pPr>
        <w:numPr>
          <w:ilvl w:val="0"/>
          <w:numId w:val="22"/>
        </w:numPr>
      </w:pPr>
      <w:r w:rsidRPr="00743986">
        <w:rPr>
          <w:b/>
          <w:bCs/>
        </w:rPr>
        <w:t>Assess Development Needs:</w:t>
      </w:r>
      <w:r w:rsidRPr="00743986">
        <w:t xml:space="preserve"> Determine if additional training, support, or time </w:t>
      </w:r>
      <w:proofErr w:type="gramStart"/>
      <w:r w:rsidRPr="00743986">
        <w:t>is required</w:t>
      </w:r>
      <w:proofErr w:type="gramEnd"/>
    </w:p>
    <w:p w14:paraId="34DE13A9" w14:textId="77777777" w:rsidR="00743986" w:rsidRPr="00743986" w:rsidRDefault="00743986" w:rsidP="006839B9">
      <w:pPr>
        <w:numPr>
          <w:ilvl w:val="0"/>
          <w:numId w:val="22"/>
        </w:numPr>
      </w:pPr>
      <w:r w:rsidRPr="00743986">
        <w:rPr>
          <w:b/>
          <w:bCs/>
        </w:rPr>
        <w:t>Document a Development Plan:</w:t>
      </w:r>
      <w:r w:rsidRPr="00743986">
        <w:t xml:space="preserve"> Record all findings, agreed actions, and timescales within a refreshed Personal Development Plan (PDP)</w:t>
      </w:r>
    </w:p>
    <w:p w14:paraId="46A50001" w14:textId="77777777" w:rsidR="00743986" w:rsidRPr="00743986" w:rsidRDefault="00743986" w:rsidP="006839B9">
      <w:pPr>
        <w:numPr>
          <w:ilvl w:val="0"/>
          <w:numId w:val="22"/>
        </w:numPr>
      </w:pPr>
      <w:r w:rsidRPr="00743986">
        <w:rPr>
          <w:b/>
          <w:bCs/>
        </w:rPr>
        <w:t>Adjust Supervision Level:</w:t>
      </w:r>
      <w:r w:rsidRPr="00743986">
        <w:t xml:space="preserve"> Apply proportionate measures, which may include:</w:t>
      </w:r>
    </w:p>
    <w:p w14:paraId="42FDF663" w14:textId="77777777" w:rsidR="00743986" w:rsidRPr="00743986" w:rsidRDefault="00743986" w:rsidP="006839B9">
      <w:pPr>
        <w:numPr>
          <w:ilvl w:val="1"/>
          <w:numId w:val="22"/>
        </w:numPr>
      </w:pPr>
      <w:r w:rsidRPr="00743986">
        <w:t>Increased post-sale file reviews (e.g. moving from 10% to 100%)</w:t>
      </w:r>
    </w:p>
    <w:p w14:paraId="23E20D82" w14:textId="77777777" w:rsidR="00743986" w:rsidRPr="00743986" w:rsidRDefault="00743986" w:rsidP="006839B9">
      <w:pPr>
        <w:numPr>
          <w:ilvl w:val="1"/>
          <w:numId w:val="22"/>
        </w:numPr>
      </w:pPr>
      <w:r w:rsidRPr="00743986">
        <w:lastRenderedPageBreak/>
        <w:t>Pre-sale approval of advice</w:t>
      </w:r>
    </w:p>
    <w:p w14:paraId="322CEA07" w14:textId="77777777" w:rsidR="00743986" w:rsidRPr="00743986" w:rsidRDefault="00743986" w:rsidP="006839B9">
      <w:pPr>
        <w:numPr>
          <w:ilvl w:val="1"/>
          <w:numId w:val="22"/>
        </w:numPr>
      </w:pPr>
      <w:r w:rsidRPr="00743986">
        <w:t>Further observed meetings</w:t>
      </w:r>
    </w:p>
    <w:p w14:paraId="001AD20F" w14:textId="77777777" w:rsidR="00743986" w:rsidRPr="00743986" w:rsidRDefault="00743986" w:rsidP="006839B9">
      <w:pPr>
        <w:numPr>
          <w:ilvl w:val="1"/>
          <w:numId w:val="22"/>
        </w:numPr>
      </w:pPr>
      <w:r w:rsidRPr="00743986">
        <w:t>Temporary restrictions on certain types of advice or activity</w:t>
      </w:r>
    </w:p>
    <w:p w14:paraId="1FF92FD1" w14:textId="77777777" w:rsidR="00743986" w:rsidRPr="00743986" w:rsidRDefault="00743986" w:rsidP="006839B9">
      <w:pPr>
        <w:numPr>
          <w:ilvl w:val="1"/>
          <w:numId w:val="22"/>
        </w:numPr>
      </w:pPr>
      <w:r w:rsidRPr="00743986">
        <w:t>Structured refresher training or technical support sessions</w:t>
      </w:r>
    </w:p>
    <w:p w14:paraId="35AC1867" w14:textId="77777777" w:rsidR="00743986" w:rsidRDefault="00743986" w:rsidP="006839B9">
      <w:pPr>
        <w:numPr>
          <w:ilvl w:val="0"/>
          <w:numId w:val="22"/>
        </w:numPr>
      </w:pPr>
      <w:r w:rsidRPr="00743986">
        <w:rPr>
          <w:b/>
          <w:bCs/>
        </w:rPr>
        <w:t>Track and Review Progress:</w:t>
      </w:r>
      <w:r w:rsidRPr="00743986">
        <w:t xml:space="preserve"> Monitor outcomes closely and return the adviser to standard supervision once acceptable standards </w:t>
      </w:r>
      <w:proofErr w:type="gramStart"/>
      <w:r w:rsidRPr="00743986">
        <w:t>are demonstrated</w:t>
      </w:r>
      <w:proofErr w:type="gramEnd"/>
      <w:r w:rsidRPr="00743986">
        <w:t xml:space="preserve"> consistently</w:t>
      </w:r>
    </w:p>
    <w:p w14:paraId="4EC3B8D4" w14:textId="77777777" w:rsidR="00743986" w:rsidRPr="00743986" w:rsidRDefault="00743986" w:rsidP="00743986">
      <w:pPr>
        <w:ind w:left="720"/>
      </w:pPr>
    </w:p>
    <w:p w14:paraId="0B256F8F" w14:textId="77777777" w:rsidR="00965D34" w:rsidRPr="00B01450" w:rsidRDefault="00965D34" w:rsidP="00965D34">
      <w:r>
        <w:t xml:space="preserve">If for any reason the firm deems that an individual is no longer competent, they will </w:t>
      </w:r>
      <w:proofErr w:type="gramStart"/>
      <w:r>
        <w:t>be advised</w:t>
      </w:r>
      <w:proofErr w:type="gramEnd"/>
      <w:r>
        <w:t xml:space="preserve">, and an immediate remedial action plan will </w:t>
      </w:r>
      <w:proofErr w:type="gramStart"/>
      <w:r>
        <w:t>be put</w:t>
      </w:r>
      <w:proofErr w:type="gramEnd"/>
      <w:r>
        <w:t xml:space="preserve"> in place</w:t>
      </w:r>
      <w:proofErr w:type="gramStart"/>
      <w:r>
        <w:t xml:space="preserve">.  </w:t>
      </w:r>
      <w:proofErr w:type="gramEnd"/>
      <w:r>
        <w:t>During this period all or part of the individual’s activities will be restricted</w:t>
      </w:r>
      <w:proofErr w:type="gramStart"/>
      <w:r>
        <w:t xml:space="preserve">.  </w:t>
      </w:r>
      <w:proofErr w:type="gramEnd"/>
      <w:r>
        <w:t xml:space="preserve">Certification may be </w:t>
      </w:r>
      <w:proofErr w:type="gramStart"/>
      <w:r>
        <w:t>temporarily suspended</w:t>
      </w:r>
      <w:proofErr w:type="gramEnd"/>
      <w:r>
        <w:t>.</w:t>
      </w:r>
    </w:p>
    <w:p w14:paraId="3A9B1876" w14:textId="77777777" w:rsidR="00965D34" w:rsidRDefault="00965D34" w:rsidP="00743986"/>
    <w:p w14:paraId="2631077A" w14:textId="36356CC8" w:rsidR="00743986" w:rsidRPr="00743986" w:rsidRDefault="00743986" w:rsidP="00743986">
      <w:r w:rsidRPr="00743986">
        <w:t xml:space="preserve">All supervision changes, reviews, and outcomes must </w:t>
      </w:r>
      <w:proofErr w:type="gramStart"/>
      <w:r w:rsidRPr="00743986">
        <w:t>be documented</w:t>
      </w:r>
      <w:proofErr w:type="gramEnd"/>
      <w:r w:rsidRPr="00743986">
        <w:t xml:space="preserve"> in the individual’s T&amp;C Workbook and form part of their ongoing competence record.</w:t>
      </w:r>
    </w:p>
    <w:p w14:paraId="58867184" w14:textId="4D7E6D5B" w:rsidR="00D32A79" w:rsidRPr="000F487F" w:rsidRDefault="00D32A79" w:rsidP="00D32A79">
      <w:pPr>
        <w:pStyle w:val="Heading1"/>
        <w:rPr>
          <w:color w:val="auto"/>
        </w:rPr>
      </w:pPr>
      <w:bookmarkStart w:id="13" w:name="_Toc199838630"/>
      <w:r w:rsidRPr="000F487F">
        <w:rPr>
          <w:color w:val="auto"/>
        </w:rPr>
        <w:t>Continuous Professional Development</w:t>
      </w:r>
      <w:r w:rsidR="00463BC6" w:rsidRPr="000F487F">
        <w:rPr>
          <w:color w:val="auto"/>
        </w:rPr>
        <w:t xml:space="preserve"> (CPD)</w:t>
      </w:r>
      <w:bookmarkEnd w:id="13"/>
    </w:p>
    <w:p w14:paraId="2C3E8C94" w14:textId="76A3DC2F" w:rsidR="00463BC6" w:rsidRPr="00463BC6" w:rsidRDefault="00463BC6" w:rsidP="00463BC6">
      <w:r w:rsidRPr="00463BC6">
        <w:t xml:space="preserve">Ongoing professional development is a cornerstone of maintaining competence in a regulated environment. All advisers, supervisors, and relevant staff </w:t>
      </w:r>
      <w:proofErr w:type="gramStart"/>
      <w:r w:rsidRPr="00463BC6">
        <w:t>are expected</w:t>
      </w:r>
      <w:proofErr w:type="gramEnd"/>
      <w:r w:rsidRPr="00463BC6">
        <w:t xml:space="preserve"> to actively engage in CPD to ensure their knowledge, skills, and ethical awareness remain current and effective in delivering good client outcomes.</w:t>
      </w:r>
    </w:p>
    <w:p w14:paraId="76EC7E6C" w14:textId="77777777" w:rsidR="00463BC6" w:rsidRPr="00463BC6" w:rsidRDefault="00463BC6" w:rsidP="00463BC6">
      <w:r w:rsidRPr="00463BC6">
        <w:t>CPD is not a one-off requirement but a continuous process that reflects regulatory standards, changing market conditions, and the expectations of both clients and the firm.</w:t>
      </w:r>
    </w:p>
    <w:p w14:paraId="53B85D62" w14:textId="77777777" w:rsidR="00463BC6" w:rsidRDefault="00463BC6" w:rsidP="00D32A79"/>
    <w:p w14:paraId="374853AA" w14:textId="77777777" w:rsidR="00463BC6" w:rsidRPr="00463BC6" w:rsidRDefault="00463BC6" w:rsidP="00463BC6">
      <w:pPr>
        <w:rPr>
          <w:b/>
          <w:bCs/>
        </w:rPr>
      </w:pPr>
      <w:r w:rsidRPr="00463BC6">
        <w:rPr>
          <w:b/>
          <w:bCs/>
        </w:rPr>
        <w:t>Who Must Complete CPD</w:t>
      </w:r>
    </w:p>
    <w:p w14:paraId="6CBE8456" w14:textId="77777777" w:rsidR="00463BC6" w:rsidRPr="00463BC6" w:rsidRDefault="00463BC6" w:rsidP="00463BC6">
      <w:r w:rsidRPr="00463BC6">
        <w:t>CPD is mandatory for:</w:t>
      </w:r>
    </w:p>
    <w:p w14:paraId="63E7C071" w14:textId="77777777" w:rsidR="00463BC6" w:rsidRPr="00463BC6" w:rsidRDefault="00463BC6" w:rsidP="006839B9">
      <w:pPr>
        <w:numPr>
          <w:ilvl w:val="0"/>
          <w:numId w:val="23"/>
        </w:numPr>
      </w:pPr>
      <w:r w:rsidRPr="00463BC6">
        <w:t>Retail investment advisers (as required to maintain a valid Statement of Professional Standing)</w:t>
      </w:r>
    </w:p>
    <w:p w14:paraId="4CCE89CA" w14:textId="77777777" w:rsidR="00463BC6" w:rsidRPr="00463BC6" w:rsidRDefault="00463BC6" w:rsidP="006839B9">
      <w:pPr>
        <w:numPr>
          <w:ilvl w:val="0"/>
          <w:numId w:val="23"/>
        </w:numPr>
      </w:pPr>
      <w:r w:rsidRPr="00463BC6">
        <w:t>Supervisors and T&amp;C staff responsible for overseeing competence</w:t>
      </w:r>
    </w:p>
    <w:p w14:paraId="2A88E2F3" w14:textId="77777777" w:rsidR="00463BC6" w:rsidRDefault="00463BC6" w:rsidP="006839B9">
      <w:pPr>
        <w:numPr>
          <w:ilvl w:val="0"/>
          <w:numId w:val="23"/>
        </w:numPr>
      </w:pPr>
      <w:r w:rsidRPr="00463BC6">
        <w:t xml:space="preserve">Any individual </w:t>
      </w:r>
      <w:proofErr w:type="gramStart"/>
      <w:r w:rsidRPr="00463BC6">
        <w:t>carrying out</w:t>
      </w:r>
      <w:proofErr w:type="gramEnd"/>
      <w:r w:rsidRPr="00463BC6">
        <w:t xml:space="preserve"> a Certification Function under the SM&amp;CR regime</w:t>
      </w:r>
    </w:p>
    <w:p w14:paraId="1E624CF6" w14:textId="77777777" w:rsidR="00463BC6" w:rsidRDefault="00463BC6" w:rsidP="00463BC6"/>
    <w:p w14:paraId="1EEAD99A" w14:textId="77777777" w:rsidR="00463BC6" w:rsidRPr="00463BC6" w:rsidRDefault="00463BC6" w:rsidP="00463BC6">
      <w:pPr>
        <w:rPr>
          <w:b/>
          <w:bCs/>
        </w:rPr>
      </w:pPr>
      <w:r w:rsidRPr="00463BC6">
        <w:rPr>
          <w:b/>
          <w:bCs/>
        </w:rPr>
        <w:t>CPD Requirements</w:t>
      </w:r>
    </w:p>
    <w:p w14:paraId="32AABE11" w14:textId="77777777" w:rsidR="00463BC6" w:rsidRDefault="00463BC6" w:rsidP="00463BC6">
      <w:r w:rsidRPr="00463BC6">
        <w:t xml:space="preserve">The FCA expects advisers to complete a </w:t>
      </w:r>
      <w:r w:rsidRPr="00463BC6">
        <w:rPr>
          <w:b/>
          <w:bCs/>
        </w:rPr>
        <w:t>minimum of 35 hours</w:t>
      </w:r>
      <w:r w:rsidRPr="00463BC6">
        <w:t xml:space="preserve"> of CPD per year, of which </w:t>
      </w:r>
      <w:r w:rsidRPr="00463BC6">
        <w:rPr>
          <w:b/>
          <w:bCs/>
        </w:rPr>
        <w:t xml:space="preserve">21 hours must </w:t>
      </w:r>
      <w:proofErr w:type="gramStart"/>
      <w:r w:rsidRPr="00463BC6">
        <w:rPr>
          <w:b/>
          <w:bCs/>
        </w:rPr>
        <w:t>be structured</w:t>
      </w:r>
      <w:proofErr w:type="gramEnd"/>
      <w:r w:rsidRPr="00463BC6">
        <w:t>, as set out in TC 2.1.15R and relevant professional body guidance.</w:t>
      </w:r>
    </w:p>
    <w:p w14:paraId="1F8E0467" w14:textId="77777777" w:rsidR="00463BC6" w:rsidRPr="00463BC6" w:rsidRDefault="00463BC6" w:rsidP="00463BC6"/>
    <w:p w14:paraId="5B4A52D6" w14:textId="77777777" w:rsidR="00463BC6" w:rsidRPr="00463BC6" w:rsidRDefault="00463BC6" w:rsidP="00463BC6">
      <w:r w:rsidRPr="00463BC6">
        <w:lastRenderedPageBreak/>
        <w:t xml:space="preserve">While the 35-hour requirement applies specifically to investment advisers, the firm expects all roles within the T&amp;C framework (including supervisors) to complete role-appropriate CPD, to ensure regulatory alignment and the delivery of </w:t>
      </w:r>
      <w:proofErr w:type="gramStart"/>
      <w:r w:rsidRPr="00463BC6">
        <w:t>high standards</w:t>
      </w:r>
      <w:proofErr w:type="gramEnd"/>
      <w:r w:rsidRPr="00463BC6">
        <w:t xml:space="preserve"> across all functions.</w:t>
      </w:r>
    </w:p>
    <w:p w14:paraId="7DB4D424" w14:textId="77777777" w:rsidR="00463BC6" w:rsidRPr="00463BC6" w:rsidRDefault="00463BC6" w:rsidP="00463BC6"/>
    <w:p w14:paraId="1AF1F76F" w14:textId="114140B6" w:rsidR="003F7E89" w:rsidRPr="000F487F" w:rsidRDefault="00463BC6" w:rsidP="003F7E89">
      <w:pPr>
        <w:pStyle w:val="Heading2"/>
        <w:rPr>
          <w:color w:val="auto"/>
        </w:rPr>
      </w:pPr>
      <w:bookmarkStart w:id="14" w:name="_Toc199838631"/>
      <w:r w:rsidRPr="000F487F">
        <w:rPr>
          <w:color w:val="auto"/>
        </w:rPr>
        <w:t>Types of CPD</w:t>
      </w:r>
      <w:r w:rsidR="001B2D5E" w:rsidRPr="000F487F">
        <w:rPr>
          <w:color w:val="auto"/>
        </w:rPr>
        <w:t xml:space="preserve"> Activity</w:t>
      </w:r>
      <w:bookmarkEnd w:id="14"/>
    </w:p>
    <w:p w14:paraId="4E6F0FC1" w14:textId="77777777" w:rsidR="00463BC6" w:rsidRPr="00463BC6" w:rsidRDefault="00463BC6" w:rsidP="00463BC6">
      <w:r w:rsidRPr="00463BC6">
        <w:rPr>
          <w:b/>
          <w:bCs/>
        </w:rPr>
        <w:t>Structured CPD</w:t>
      </w:r>
      <w:r w:rsidRPr="00463BC6">
        <w:t xml:space="preserve"> involves active participation and verifiable learning with defined learning objectives. Examples include:</w:t>
      </w:r>
    </w:p>
    <w:p w14:paraId="15BC3DD3" w14:textId="77777777" w:rsidR="00463BC6" w:rsidRPr="00463BC6" w:rsidRDefault="00463BC6" w:rsidP="006839B9">
      <w:pPr>
        <w:numPr>
          <w:ilvl w:val="0"/>
          <w:numId w:val="24"/>
        </w:numPr>
      </w:pPr>
      <w:r w:rsidRPr="00463BC6">
        <w:t>Attendance at live training courses, seminars, and conferences</w:t>
      </w:r>
    </w:p>
    <w:p w14:paraId="719C91E7" w14:textId="77777777" w:rsidR="00463BC6" w:rsidRPr="00463BC6" w:rsidRDefault="00463BC6" w:rsidP="006839B9">
      <w:pPr>
        <w:numPr>
          <w:ilvl w:val="0"/>
          <w:numId w:val="24"/>
        </w:numPr>
      </w:pPr>
      <w:r w:rsidRPr="00463BC6">
        <w:t>Online training modules with assessments</w:t>
      </w:r>
    </w:p>
    <w:p w14:paraId="1E964B59" w14:textId="77777777" w:rsidR="00463BC6" w:rsidRPr="00463BC6" w:rsidRDefault="00463BC6" w:rsidP="006839B9">
      <w:pPr>
        <w:numPr>
          <w:ilvl w:val="0"/>
          <w:numId w:val="24"/>
        </w:numPr>
      </w:pPr>
      <w:r w:rsidRPr="00463BC6">
        <w:t>Technical workshops</w:t>
      </w:r>
    </w:p>
    <w:p w14:paraId="06D555B3" w14:textId="77777777" w:rsidR="00463BC6" w:rsidRPr="00463BC6" w:rsidRDefault="00463BC6" w:rsidP="006839B9">
      <w:pPr>
        <w:numPr>
          <w:ilvl w:val="0"/>
          <w:numId w:val="24"/>
        </w:numPr>
      </w:pPr>
      <w:r w:rsidRPr="00463BC6">
        <w:t>Exam preparation or formal qualifications</w:t>
      </w:r>
    </w:p>
    <w:p w14:paraId="414568A1" w14:textId="77777777" w:rsidR="00463BC6" w:rsidRDefault="00463BC6" w:rsidP="006839B9">
      <w:pPr>
        <w:numPr>
          <w:ilvl w:val="0"/>
          <w:numId w:val="24"/>
        </w:numPr>
      </w:pPr>
      <w:r w:rsidRPr="00463BC6">
        <w:t>Observed role play or case study sessions with feedback</w:t>
      </w:r>
    </w:p>
    <w:p w14:paraId="0C452959" w14:textId="77777777" w:rsidR="00A140F4" w:rsidRDefault="00A140F4" w:rsidP="00A140F4">
      <w:pPr>
        <w:ind w:left="720"/>
      </w:pPr>
    </w:p>
    <w:p w14:paraId="2A78A60B" w14:textId="13288DE1" w:rsidR="00A140F4" w:rsidRPr="00A140F4" w:rsidRDefault="00A140F4" w:rsidP="006839B9">
      <w:pPr>
        <w:numPr>
          <w:ilvl w:val="0"/>
          <w:numId w:val="26"/>
        </w:numPr>
      </w:pPr>
      <w:r w:rsidRPr="00A140F4">
        <w:rPr>
          <w:b/>
          <w:bCs/>
        </w:rPr>
        <w:t>Please note:</w:t>
      </w:r>
      <w:r>
        <w:rPr>
          <w:b/>
          <w:bCs/>
        </w:rPr>
        <w:t xml:space="preserve"> </w:t>
      </w:r>
      <w:r>
        <w:t xml:space="preserve">Whilst the FCA Handbook does not specify a minimum duration for a CPD activity, this detail is often determined by the accredited bodies responsible for issuing SPS certificates. E.g. The CII scheme rules state, </w:t>
      </w:r>
      <w:r w:rsidRPr="00A140F4">
        <w:rPr>
          <w:i/>
          <w:iCs/>
        </w:rPr>
        <w:t>“For an activity to be eligible it must be a minimum of </w:t>
      </w:r>
      <w:r w:rsidRPr="00A140F4">
        <w:rPr>
          <w:b/>
          <w:bCs/>
          <w:i/>
          <w:iCs/>
        </w:rPr>
        <w:t>30 minutes</w:t>
      </w:r>
      <w:r w:rsidRPr="00A140F4">
        <w:rPr>
          <w:i/>
          <w:iCs/>
        </w:rPr>
        <w:t> in duration (a batch of different activities of less than 30 minutes each undertaken to meet a specific learning outcome can be combined and recorded together)”.</w:t>
      </w:r>
    </w:p>
    <w:p w14:paraId="2260E2B0" w14:textId="7186B1F6" w:rsidR="00A140F4" w:rsidRPr="00A140F4" w:rsidRDefault="00A140F4" w:rsidP="00A140F4"/>
    <w:p w14:paraId="68064D70" w14:textId="77777777" w:rsidR="00A140F4" w:rsidRPr="00463BC6" w:rsidRDefault="00A140F4" w:rsidP="00A140F4"/>
    <w:p w14:paraId="1ECBAF99" w14:textId="77777777" w:rsidR="00463BC6" w:rsidRPr="00463BC6" w:rsidRDefault="00463BC6" w:rsidP="00463BC6">
      <w:r w:rsidRPr="00463BC6">
        <w:rPr>
          <w:b/>
          <w:bCs/>
        </w:rPr>
        <w:t>Unstructured CPD</w:t>
      </w:r>
      <w:r w:rsidRPr="00463BC6">
        <w:t xml:space="preserve"> involves informal learning where there may not be formal assessment or participation tracking. Examples include:</w:t>
      </w:r>
    </w:p>
    <w:p w14:paraId="071C4286" w14:textId="77777777" w:rsidR="00463BC6" w:rsidRPr="00463BC6" w:rsidRDefault="00463BC6" w:rsidP="006839B9">
      <w:pPr>
        <w:numPr>
          <w:ilvl w:val="0"/>
          <w:numId w:val="25"/>
        </w:numPr>
      </w:pPr>
      <w:r w:rsidRPr="00463BC6">
        <w:t>Reading trade journals or regulatory updates</w:t>
      </w:r>
    </w:p>
    <w:p w14:paraId="6230BC29" w14:textId="77777777" w:rsidR="00463BC6" w:rsidRPr="00463BC6" w:rsidRDefault="00463BC6" w:rsidP="006839B9">
      <w:pPr>
        <w:numPr>
          <w:ilvl w:val="0"/>
          <w:numId w:val="25"/>
        </w:numPr>
      </w:pPr>
      <w:r w:rsidRPr="00463BC6">
        <w:t>Independent research on technical topics</w:t>
      </w:r>
    </w:p>
    <w:p w14:paraId="02AF548E" w14:textId="77777777" w:rsidR="00463BC6" w:rsidRPr="00463BC6" w:rsidRDefault="00463BC6" w:rsidP="006839B9">
      <w:pPr>
        <w:numPr>
          <w:ilvl w:val="0"/>
          <w:numId w:val="25"/>
        </w:numPr>
      </w:pPr>
      <w:r w:rsidRPr="00463BC6">
        <w:t>Watching industry webinars (without assessment)</w:t>
      </w:r>
    </w:p>
    <w:p w14:paraId="1B4B6F08" w14:textId="77777777" w:rsidR="00463BC6" w:rsidRDefault="00463BC6" w:rsidP="006839B9">
      <w:pPr>
        <w:numPr>
          <w:ilvl w:val="0"/>
          <w:numId w:val="25"/>
        </w:numPr>
      </w:pPr>
      <w:r w:rsidRPr="00463BC6">
        <w:t>Peer discussions or knowledge-sharing forums</w:t>
      </w:r>
    </w:p>
    <w:p w14:paraId="4B401638" w14:textId="77777777" w:rsidR="001B2D5E" w:rsidRPr="00463BC6" w:rsidRDefault="001B2D5E" w:rsidP="001B2D5E">
      <w:pPr>
        <w:ind w:left="720"/>
      </w:pPr>
    </w:p>
    <w:p w14:paraId="448B59FC" w14:textId="448CB18D" w:rsidR="00463BC6" w:rsidRDefault="00463BC6" w:rsidP="00D32A79">
      <w:r w:rsidRPr="00463BC6">
        <w:t>Both types of CPD are valuable, but individuals must ensure they achieve the correct balance between structured and unstructured to meet SPS and firm expectations.</w:t>
      </w:r>
    </w:p>
    <w:p w14:paraId="603DAF89" w14:textId="77777777" w:rsidR="00D32A79" w:rsidRDefault="00D32A79" w:rsidP="00D32A79"/>
    <w:p w14:paraId="6A219B7B" w14:textId="77777777" w:rsidR="001B2D5E" w:rsidRPr="001B2D5E" w:rsidRDefault="001B2D5E" w:rsidP="001B2D5E">
      <w:pPr>
        <w:rPr>
          <w:b/>
          <w:bCs/>
        </w:rPr>
      </w:pPr>
      <w:r w:rsidRPr="001B2D5E">
        <w:rPr>
          <w:b/>
          <w:bCs/>
        </w:rPr>
        <w:t>CPD Requirements for Protection Advisers</w:t>
      </w:r>
    </w:p>
    <w:p w14:paraId="14AD6C2F" w14:textId="6593FA12" w:rsidR="00430202" w:rsidRDefault="001F46FC" w:rsidP="001B2D5E">
      <w:r>
        <w:t xml:space="preserve">Where individuals undertake </w:t>
      </w:r>
      <w:r w:rsidR="00E92129">
        <w:t xml:space="preserve">the distribution of insurance products, </w:t>
      </w:r>
      <w:r w:rsidR="00FE42B8">
        <w:t xml:space="preserve">they </w:t>
      </w:r>
      <w:proofErr w:type="gramStart"/>
      <w:r w:rsidR="00FE42B8">
        <w:t>are also required</w:t>
      </w:r>
      <w:proofErr w:type="gramEnd"/>
      <w:r w:rsidR="00FE42B8">
        <w:t xml:space="preserve"> to undertake relevant CPD activit</w:t>
      </w:r>
      <w:r w:rsidR="00430202">
        <w:t>ies in relation to this activity</w:t>
      </w:r>
      <w:proofErr w:type="gramStart"/>
      <w:r w:rsidR="00430202">
        <w:t xml:space="preserve">.  </w:t>
      </w:r>
      <w:proofErr w:type="gramEnd"/>
      <w:r w:rsidR="00430202">
        <w:t xml:space="preserve">This requirement </w:t>
      </w:r>
      <w:r w:rsidR="00430202">
        <w:lastRenderedPageBreak/>
        <w:t xml:space="preserve">applies </w:t>
      </w:r>
      <w:r w:rsidR="00F8160F">
        <w:t xml:space="preserve">to advisers, anybody </w:t>
      </w:r>
      <w:r w:rsidR="003D7F59">
        <w:t xml:space="preserve">supervising these individuals </w:t>
      </w:r>
      <w:proofErr w:type="gramStart"/>
      <w:r w:rsidR="003D7F59">
        <w:t>and also</w:t>
      </w:r>
      <w:proofErr w:type="gramEnd"/>
      <w:r w:rsidR="003D7F59">
        <w:t xml:space="preserve"> the individual listed with insurance distribution responsibilities</w:t>
      </w:r>
      <w:r w:rsidR="005437DA">
        <w:t>.</w:t>
      </w:r>
    </w:p>
    <w:p w14:paraId="496F3130" w14:textId="77777777" w:rsidR="005437DA" w:rsidRDefault="005437DA" w:rsidP="001B2D5E"/>
    <w:p w14:paraId="67806D7D" w14:textId="77777777" w:rsidR="001B2D5E" w:rsidRPr="001B2D5E" w:rsidRDefault="001B2D5E" w:rsidP="001B2D5E">
      <w:pPr>
        <w:rPr>
          <w:b/>
          <w:bCs/>
        </w:rPr>
      </w:pPr>
      <w:r w:rsidRPr="001B2D5E">
        <w:rPr>
          <w:b/>
          <w:bCs/>
        </w:rPr>
        <w:t>Key Points:</w:t>
      </w:r>
    </w:p>
    <w:p w14:paraId="188C154F" w14:textId="3D760EA2" w:rsidR="005437DA" w:rsidRDefault="001503F2" w:rsidP="001503F2">
      <w:r>
        <w:t>The level of CPD activity required will depend on the activities undertaken:</w:t>
      </w:r>
    </w:p>
    <w:p w14:paraId="75FF779C" w14:textId="77777777" w:rsidR="005437DA" w:rsidRDefault="005437DA" w:rsidP="001503F2">
      <w:pPr>
        <w:ind w:left="720"/>
      </w:pPr>
    </w:p>
    <w:p w14:paraId="1F88C5B8" w14:textId="5D15F8A9" w:rsidR="00BA1788" w:rsidRDefault="002417AA" w:rsidP="006839B9">
      <w:pPr>
        <w:numPr>
          <w:ilvl w:val="0"/>
          <w:numId w:val="27"/>
        </w:numPr>
      </w:pPr>
      <w:r>
        <w:t xml:space="preserve">Where activity is only </w:t>
      </w:r>
      <w:r w:rsidR="00F728FC">
        <w:t>for</w:t>
      </w:r>
      <w:r w:rsidR="000F22F0">
        <w:t xml:space="preserve"> </w:t>
      </w:r>
      <w:r w:rsidR="000F22F0" w:rsidRPr="00BA1788">
        <w:rPr>
          <w:b/>
          <w:bCs/>
        </w:rPr>
        <w:t>Non-investmen</w:t>
      </w:r>
      <w:r w:rsidR="00876C35" w:rsidRPr="00BA1788">
        <w:rPr>
          <w:b/>
          <w:bCs/>
        </w:rPr>
        <w:t>t insurance distribution</w:t>
      </w:r>
      <w:r w:rsidR="00876C35">
        <w:t xml:space="preserve">, the firm determines the amount of CPD they consider appropriate to </w:t>
      </w:r>
      <w:r w:rsidR="00BA1788">
        <w:t>evidence adviser competency.</w:t>
      </w:r>
    </w:p>
    <w:p w14:paraId="244B9B82" w14:textId="3E02D46B" w:rsidR="00950803" w:rsidRDefault="00BA1788" w:rsidP="006839B9">
      <w:pPr>
        <w:numPr>
          <w:ilvl w:val="0"/>
          <w:numId w:val="27"/>
        </w:numPr>
      </w:pPr>
      <w:r>
        <w:t xml:space="preserve">For </w:t>
      </w:r>
      <w:r w:rsidRPr="00BA1788">
        <w:rPr>
          <w:b/>
          <w:bCs/>
        </w:rPr>
        <w:t>Long term insurance distribution</w:t>
      </w:r>
      <w:r w:rsidR="00950803">
        <w:rPr>
          <w:b/>
          <w:bCs/>
        </w:rPr>
        <w:t xml:space="preserve">, </w:t>
      </w:r>
      <w:r w:rsidR="00950803" w:rsidRPr="00950803">
        <w:t xml:space="preserve">there is a requirement to complete a minimum of 15 hours </w:t>
      </w:r>
      <w:r w:rsidR="00950803">
        <w:t>CPD</w:t>
      </w:r>
      <w:r w:rsidR="006A61EA">
        <w:t xml:space="preserve">. There is no prescribed amount </w:t>
      </w:r>
      <w:r w:rsidR="00545A10">
        <w:t>of structured CPD.</w:t>
      </w:r>
    </w:p>
    <w:p w14:paraId="307E8AD6" w14:textId="55FFE95C" w:rsidR="00545A10" w:rsidRPr="00950803" w:rsidRDefault="00545A10" w:rsidP="006839B9">
      <w:pPr>
        <w:numPr>
          <w:ilvl w:val="0"/>
          <w:numId w:val="27"/>
        </w:numPr>
      </w:pPr>
      <w:r>
        <w:t xml:space="preserve">The 15 hours can usually count towards the 35 hours </w:t>
      </w:r>
      <w:r w:rsidR="006F0D2F">
        <w:t>for retail advisers</w:t>
      </w:r>
    </w:p>
    <w:p w14:paraId="78EB2BBE" w14:textId="22819068" w:rsidR="001B2D5E" w:rsidRPr="001B2D5E" w:rsidRDefault="001B2D5E" w:rsidP="001B2D5E"/>
    <w:p w14:paraId="70FA0E42" w14:textId="77777777" w:rsidR="001B2D5E" w:rsidRPr="001B2D5E" w:rsidRDefault="001B2D5E" w:rsidP="001B2D5E">
      <w:pPr>
        <w:rPr>
          <w:b/>
          <w:bCs/>
        </w:rPr>
      </w:pPr>
      <w:r w:rsidRPr="001B2D5E">
        <w:rPr>
          <w:b/>
          <w:bCs/>
        </w:rPr>
        <w:t>CPD Requirements for Pension Transfer Specialists (PTS)</w:t>
      </w:r>
    </w:p>
    <w:p w14:paraId="3B8C5CDA" w14:textId="412DDB2D" w:rsidR="001B2D5E" w:rsidRDefault="001B2D5E" w:rsidP="001B2D5E">
      <w:r w:rsidRPr="001B2D5E">
        <w:t>The FCA mandates that individuals providing advice on pension transfers, particularly those involving safeguarded benefits like defined benefit schemes, must undertake additional CPD to maintain their competence.</w:t>
      </w:r>
      <w:r>
        <w:t xml:space="preserve"> </w:t>
      </w:r>
    </w:p>
    <w:p w14:paraId="18CB20C6" w14:textId="56880749" w:rsidR="001B2D5E" w:rsidRPr="001B2D5E" w:rsidRDefault="001B2D5E" w:rsidP="001B2D5E">
      <w:pPr>
        <w:rPr>
          <w:b/>
          <w:bCs/>
        </w:rPr>
      </w:pPr>
      <w:r w:rsidRPr="001B2D5E">
        <w:rPr>
          <w:b/>
          <w:bCs/>
        </w:rPr>
        <w:t>Annual CPD Requirements:</w:t>
      </w:r>
    </w:p>
    <w:p w14:paraId="43B50D6B" w14:textId="77777777" w:rsidR="001B2D5E" w:rsidRPr="001B2D5E" w:rsidRDefault="001B2D5E" w:rsidP="006839B9">
      <w:pPr>
        <w:numPr>
          <w:ilvl w:val="0"/>
          <w:numId w:val="28"/>
        </w:numPr>
      </w:pPr>
      <w:r w:rsidRPr="001B2D5E">
        <w:rPr>
          <w:b/>
          <w:bCs/>
        </w:rPr>
        <w:t>Total:</w:t>
      </w:r>
      <w:r w:rsidRPr="001B2D5E">
        <w:t xml:space="preserve"> 15 hours of CPD specifically related to pension transfer advice.</w:t>
      </w:r>
    </w:p>
    <w:p w14:paraId="13D09246" w14:textId="77777777" w:rsidR="001B2D5E" w:rsidRPr="001B2D5E" w:rsidRDefault="001B2D5E" w:rsidP="006839B9">
      <w:pPr>
        <w:numPr>
          <w:ilvl w:val="0"/>
          <w:numId w:val="28"/>
        </w:numPr>
      </w:pPr>
      <w:r w:rsidRPr="001B2D5E">
        <w:rPr>
          <w:b/>
          <w:bCs/>
        </w:rPr>
        <w:t>Structured CPD:</w:t>
      </w:r>
      <w:r w:rsidRPr="001B2D5E">
        <w:t xml:space="preserve"> At least </w:t>
      </w:r>
      <w:r w:rsidRPr="001B2D5E">
        <w:rPr>
          <w:b/>
          <w:bCs/>
        </w:rPr>
        <w:t>9 hours</w:t>
      </w:r>
      <w:r w:rsidRPr="001B2D5E">
        <w:t xml:space="preserve"> must be structured learning.</w:t>
      </w:r>
    </w:p>
    <w:p w14:paraId="43883716" w14:textId="77777777" w:rsidR="001B2D5E" w:rsidRPr="001B2D5E" w:rsidRDefault="001B2D5E" w:rsidP="006839B9">
      <w:pPr>
        <w:numPr>
          <w:ilvl w:val="0"/>
          <w:numId w:val="28"/>
        </w:numPr>
      </w:pPr>
      <w:r w:rsidRPr="001B2D5E">
        <w:rPr>
          <w:b/>
          <w:bCs/>
        </w:rPr>
        <w:t>External Provider:</w:t>
      </w:r>
      <w:r w:rsidRPr="001B2D5E">
        <w:t xml:space="preserve"> A minimum of </w:t>
      </w:r>
      <w:r w:rsidRPr="001B2D5E">
        <w:rPr>
          <w:b/>
          <w:bCs/>
        </w:rPr>
        <w:t>5 hours</w:t>
      </w:r>
      <w:r w:rsidRPr="001B2D5E">
        <w:t xml:space="preserve"> of the structured CPD must </w:t>
      </w:r>
      <w:proofErr w:type="gramStart"/>
      <w:r w:rsidRPr="001B2D5E">
        <w:t>be obtained</w:t>
      </w:r>
      <w:proofErr w:type="gramEnd"/>
      <w:r w:rsidRPr="001B2D5E">
        <w:t xml:space="preserve"> from an </w:t>
      </w:r>
      <w:r w:rsidRPr="001B2D5E">
        <w:rPr>
          <w:b/>
          <w:bCs/>
        </w:rPr>
        <w:t>external independent provider</w:t>
      </w:r>
      <w:r w:rsidRPr="001B2D5E">
        <w:t>.</w:t>
      </w:r>
    </w:p>
    <w:p w14:paraId="5BB60E8C" w14:textId="78802094" w:rsidR="001B2D5E" w:rsidRPr="001B2D5E" w:rsidRDefault="001B2D5E" w:rsidP="006839B9">
      <w:pPr>
        <w:numPr>
          <w:ilvl w:val="0"/>
          <w:numId w:val="28"/>
        </w:numPr>
      </w:pPr>
      <w:r w:rsidRPr="001B2D5E">
        <w:rPr>
          <w:b/>
          <w:bCs/>
        </w:rPr>
        <w:t>Unstructured CPD:</w:t>
      </w:r>
      <w:r w:rsidRPr="001B2D5E">
        <w:t xml:space="preserve"> The remaining </w:t>
      </w:r>
      <w:r w:rsidRPr="001B2D5E">
        <w:rPr>
          <w:b/>
          <w:bCs/>
        </w:rPr>
        <w:t>6 hours</w:t>
      </w:r>
      <w:r w:rsidRPr="001B2D5E">
        <w:t xml:space="preserve"> can </w:t>
      </w:r>
      <w:proofErr w:type="gramStart"/>
      <w:r w:rsidRPr="001B2D5E">
        <w:t>be structured</w:t>
      </w:r>
      <w:proofErr w:type="gramEnd"/>
      <w:r w:rsidRPr="001B2D5E">
        <w:t xml:space="preserve"> or unstructured.</w:t>
      </w:r>
    </w:p>
    <w:p w14:paraId="7258FC9A" w14:textId="77777777" w:rsidR="001B2D5E" w:rsidRPr="001B2D5E" w:rsidRDefault="001B2D5E" w:rsidP="001B2D5E">
      <w:r w:rsidRPr="001B2D5E">
        <w:t xml:space="preserve">These requirements are </w:t>
      </w:r>
      <w:r w:rsidRPr="001B2D5E">
        <w:rPr>
          <w:b/>
          <w:bCs/>
        </w:rPr>
        <w:t>in addition to</w:t>
      </w:r>
      <w:r w:rsidRPr="001B2D5E">
        <w:t xml:space="preserve"> the standard 35-hour CPD obligation for retail investment advisers. </w:t>
      </w:r>
    </w:p>
    <w:p w14:paraId="390E7F36" w14:textId="77777777" w:rsidR="00D32A79" w:rsidRDefault="00D32A79" w:rsidP="00D32A79"/>
    <w:p w14:paraId="7C32FD3A" w14:textId="0956550C" w:rsidR="00D32A79" w:rsidRDefault="001B2D5E" w:rsidP="00D32A79">
      <w:r>
        <w:t xml:space="preserve">All types of </w:t>
      </w:r>
      <w:r w:rsidR="00D32A79">
        <w:t xml:space="preserve">CPD should:  </w:t>
      </w:r>
    </w:p>
    <w:p w14:paraId="68F0E15F" w14:textId="77777777" w:rsidR="001B2D5E" w:rsidRDefault="00D32A79" w:rsidP="006839B9">
      <w:pPr>
        <w:pStyle w:val="ListParagraph"/>
        <w:numPr>
          <w:ilvl w:val="0"/>
          <w:numId w:val="29"/>
        </w:numPr>
      </w:pPr>
      <w:r>
        <w:t xml:space="preserve">be relevant to the individual’s current role and any anticipated changes to that role; </w:t>
      </w:r>
    </w:p>
    <w:p w14:paraId="5E7C86E6" w14:textId="77777777" w:rsidR="001B2D5E" w:rsidRDefault="00D32A79" w:rsidP="006839B9">
      <w:pPr>
        <w:pStyle w:val="ListParagraph"/>
        <w:numPr>
          <w:ilvl w:val="0"/>
          <w:numId w:val="29"/>
        </w:numPr>
      </w:pPr>
      <w:r>
        <w:t xml:space="preserve">maintain the individual’s knowledge of the appropriate qualification core and specialist subjects; </w:t>
      </w:r>
    </w:p>
    <w:p w14:paraId="0D437209" w14:textId="77777777" w:rsidR="001B2D5E" w:rsidRDefault="00D32A79" w:rsidP="006839B9">
      <w:pPr>
        <w:pStyle w:val="ListParagraph"/>
        <w:numPr>
          <w:ilvl w:val="0"/>
          <w:numId w:val="29"/>
        </w:numPr>
      </w:pPr>
      <w:r>
        <w:t xml:space="preserve">contribute to the individual’s general professional skill and knowledge; </w:t>
      </w:r>
    </w:p>
    <w:p w14:paraId="0FC25D7C" w14:textId="77777777" w:rsidR="001B2D5E" w:rsidRDefault="00D32A79" w:rsidP="006839B9">
      <w:pPr>
        <w:pStyle w:val="ListParagraph"/>
        <w:numPr>
          <w:ilvl w:val="0"/>
          <w:numId w:val="29"/>
        </w:numPr>
      </w:pPr>
      <w:r>
        <w:t xml:space="preserve">include consideration of standards of ethical behaviour relevant to the role; </w:t>
      </w:r>
    </w:p>
    <w:p w14:paraId="0DA8FB5A" w14:textId="77777777" w:rsidR="001B2D5E" w:rsidRDefault="00D32A79" w:rsidP="006839B9">
      <w:pPr>
        <w:pStyle w:val="ListParagraph"/>
        <w:numPr>
          <w:ilvl w:val="0"/>
          <w:numId w:val="29"/>
        </w:numPr>
      </w:pPr>
      <w:r>
        <w:t xml:space="preserve">address any identified gaps in their technical knowledge; and </w:t>
      </w:r>
    </w:p>
    <w:p w14:paraId="1F1767CB" w14:textId="1F57FD9C" w:rsidR="00D32A79" w:rsidRDefault="00D32A79" w:rsidP="006839B9">
      <w:pPr>
        <w:pStyle w:val="ListParagraph"/>
        <w:numPr>
          <w:ilvl w:val="0"/>
          <w:numId w:val="29"/>
        </w:numPr>
      </w:pPr>
      <w:r>
        <w:t xml:space="preserve">address the individual’s personal and professional development needs. </w:t>
      </w:r>
    </w:p>
    <w:p w14:paraId="6CD7C301" w14:textId="77777777" w:rsidR="00295608" w:rsidRDefault="00295608" w:rsidP="00295608">
      <w:pPr>
        <w:pStyle w:val="ListParagraph"/>
        <w:ind w:left="567"/>
      </w:pPr>
    </w:p>
    <w:p w14:paraId="471CFF36" w14:textId="77777777" w:rsidR="00D32A79" w:rsidRDefault="00D32A79" w:rsidP="001B2D5E"/>
    <w:p w14:paraId="0C000442" w14:textId="77777777" w:rsidR="00D32A79" w:rsidRPr="00B01450" w:rsidRDefault="00D32A79" w:rsidP="00295608">
      <w:pPr>
        <w:rPr>
          <w:b/>
          <w:bCs/>
        </w:rPr>
      </w:pPr>
      <w:r w:rsidRPr="00B01450">
        <w:rPr>
          <w:b/>
          <w:bCs/>
        </w:rPr>
        <w:lastRenderedPageBreak/>
        <w:t xml:space="preserve">Inadmissible CPD </w:t>
      </w:r>
    </w:p>
    <w:p w14:paraId="24AA65D7" w14:textId="77777777" w:rsidR="00CD1317" w:rsidRDefault="00D32A79" w:rsidP="006839B9">
      <w:pPr>
        <w:pStyle w:val="ListParagraph"/>
        <w:numPr>
          <w:ilvl w:val="0"/>
          <w:numId w:val="31"/>
        </w:numPr>
      </w:pPr>
      <w:r>
        <w:t xml:space="preserve">Appraisals / one-to-ones / performance reviews </w:t>
      </w:r>
    </w:p>
    <w:p w14:paraId="3DE31122" w14:textId="77777777" w:rsidR="00CD1317" w:rsidRDefault="00D32A79" w:rsidP="006839B9">
      <w:pPr>
        <w:pStyle w:val="ListParagraph"/>
        <w:numPr>
          <w:ilvl w:val="0"/>
          <w:numId w:val="31"/>
        </w:numPr>
      </w:pPr>
      <w:r>
        <w:t xml:space="preserve">Meetings where no measurable learning has taken place; </w:t>
      </w:r>
    </w:p>
    <w:p w14:paraId="1FFFE24D" w14:textId="77777777" w:rsidR="00CD1317" w:rsidRDefault="00D32A79" w:rsidP="006839B9">
      <w:pPr>
        <w:pStyle w:val="ListParagraph"/>
        <w:numPr>
          <w:ilvl w:val="0"/>
          <w:numId w:val="31"/>
        </w:numPr>
      </w:pPr>
      <w:r>
        <w:t xml:space="preserve">CPD undertaken that does not cover role-related subjects; </w:t>
      </w:r>
    </w:p>
    <w:p w14:paraId="72DC14D5" w14:textId="77777777" w:rsidR="00CD1317" w:rsidRDefault="00D32A79" w:rsidP="006839B9">
      <w:pPr>
        <w:pStyle w:val="ListParagraph"/>
        <w:numPr>
          <w:ilvl w:val="0"/>
          <w:numId w:val="31"/>
        </w:numPr>
      </w:pPr>
      <w:r>
        <w:t xml:space="preserve">Activities that are part of the job role, rather than a learning activity; </w:t>
      </w:r>
    </w:p>
    <w:p w14:paraId="205FBA4E" w14:textId="198A89FB" w:rsidR="00D32A79" w:rsidRDefault="00D32A79" w:rsidP="006839B9">
      <w:pPr>
        <w:pStyle w:val="ListParagraph"/>
        <w:numPr>
          <w:ilvl w:val="0"/>
          <w:numId w:val="31"/>
        </w:numPr>
      </w:pPr>
      <w:r>
        <w:t xml:space="preserve">Social events. </w:t>
      </w:r>
    </w:p>
    <w:p w14:paraId="137B06D3" w14:textId="2337C6C0" w:rsidR="00D32A79" w:rsidRPr="000F487F" w:rsidRDefault="00D32A79" w:rsidP="00D32A79">
      <w:pPr>
        <w:pStyle w:val="Heading2"/>
        <w:rPr>
          <w:color w:val="auto"/>
        </w:rPr>
      </w:pPr>
      <w:bookmarkStart w:id="15" w:name="_Toc199838632"/>
      <w:r w:rsidRPr="000F487F">
        <w:rPr>
          <w:color w:val="auto"/>
        </w:rPr>
        <w:t xml:space="preserve">Recording </w:t>
      </w:r>
      <w:r w:rsidR="001B2D5E" w:rsidRPr="000F487F">
        <w:rPr>
          <w:color w:val="auto"/>
        </w:rPr>
        <w:t>and Monitoring</w:t>
      </w:r>
      <w:r w:rsidRPr="000F487F">
        <w:rPr>
          <w:color w:val="auto"/>
        </w:rPr>
        <w:t xml:space="preserve"> CPD</w:t>
      </w:r>
      <w:bookmarkEnd w:id="15"/>
      <w:r w:rsidRPr="000F487F">
        <w:rPr>
          <w:color w:val="auto"/>
        </w:rPr>
        <w:t xml:space="preserve"> </w:t>
      </w:r>
    </w:p>
    <w:p w14:paraId="10DD85FC" w14:textId="77777777" w:rsidR="00CD1317" w:rsidRDefault="00D32A79" w:rsidP="00295608">
      <w:r>
        <w:t>Individuals are responsible and accountable for making and retaining records of CPD that they have undertaken.</w:t>
      </w:r>
    </w:p>
    <w:p w14:paraId="22AA0363" w14:textId="77777777" w:rsidR="00CD1317" w:rsidRPr="00CD1317" w:rsidRDefault="00CD1317" w:rsidP="00CD1317">
      <w:r w:rsidRPr="00CD1317">
        <w:t>CPD must be:</w:t>
      </w:r>
    </w:p>
    <w:p w14:paraId="6F50BE09" w14:textId="77777777" w:rsidR="00CD1317" w:rsidRPr="00CD1317" w:rsidRDefault="00CD1317" w:rsidP="006839B9">
      <w:pPr>
        <w:numPr>
          <w:ilvl w:val="0"/>
          <w:numId w:val="30"/>
        </w:numPr>
      </w:pPr>
      <w:r w:rsidRPr="00CD1317">
        <w:t xml:space="preserve">Logged contemporaneously, with details of the learning activity, duration, learning outcome, and whether it </w:t>
      </w:r>
      <w:proofErr w:type="gramStart"/>
      <w:r w:rsidRPr="00CD1317">
        <w:t>was structured</w:t>
      </w:r>
      <w:proofErr w:type="gramEnd"/>
      <w:r w:rsidRPr="00CD1317">
        <w:t xml:space="preserve"> or unstructured</w:t>
      </w:r>
    </w:p>
    <w:p w14:paraId="07974DA5" w14:textId="77777777" w:rsidR="00CD1317" w:rsidRPr="00CD1317" w:rsidRDefault="00CD1317" w:rsidP="006839B9">
      <w:pPr>
        <w:numPr>
          <w:ilvl w:val="0"/>
          <w:numId w:val="30"/>
        </w:numPr>
      </w:pPr>
      <w:r w:rsidRPr="00CD1317">
        <w:t>Updated regularly throughout the year, not left until the approach of SPS renewal</w:t>
      </w:r>
    </w:p>
    <w:p w14:paraId="528A557C" w14:textId="2E9A7D0A" w:rsidR="00CD1317" w:rsidRPr="00CD1317" w:rsidRDefault="00CD1317" w:rsidP="006839B9">
      <w:pPr>
        <w:numPr>
          <w:ilvl w:val="0"/>
          <w:numId w:val="30"/>
        </w:numPr>
      </w:pPr>
      <w:r w:rsidRPr="00CD1317">
        <w:t>Reviewed during quarterly 1:1 meetings and as part of Training Needs Analysis discussions</w:t>
      </w:r>
    </w:p>
    <w:p w14:paraId="1FFE45C6" w14:textId="18CFE043" w:rsidR="00CD1317" w:rsidRPr="00CD1317" w:rsidRDefault="00CD1317" w:rsidP="00CD1317">
      <w:r w:rsidRPr="00CD1317">
        <w:t>A failure to maintain accurate and up</w:t>
      </w:r>
      <w:r>
        <w:t xml:space="preserve"> t</w:t>
      </w:r>
      <w:r w:rsidRPr="00CD1317">
        <w:t>o</w:t>
      </w:r>
      <w:r>
        <w:t xml:space="preserve"> </w:t>
      </w:r>
      <w:r w:rsidRPr="00CD1317">
        <w:t xml:space="preserve">date CPD records will </w:t>
      </w:r>
      <w:proofErr w:type="gramStart"/>
      <w:r w:rsidRPr="00CD1317">
        <w:t>be treated</w:t>
      </w:r>
      <w:proofErr w:type="gramEnd"/>
      <w:r w:rsidRPr="00CD1317">
        <w:t xml:space="preserve"> as a T&amp;C trigger event and may result in additional supervision, restrictions, or a delay in certification/SPS sign-off.</w:t>
      </w:r>
    </w:p>
    <w:p w14:paraId="78C77A98" w14:textId="77777777" w:rsidR="00CD1317" w:rsidRPr="00CD1317" w:rsidRDefault="00CD1317" w:rsidP="00CD1317">
      <w:r w:rsidRPr="00CD1317">
        <w:t>The firm may also request evidence of CPD logs at any time and will periodically audit these to ensure consistency and quality of learning.</w:t>
      </w:r>
    </w:p>
    <w:p w14:paraId="01BD76BB" w14:textId="77777777" w:rsidR="00CD1317" w:rsidRDefault="00CD1317" w:rsidP="00295608"/>
    <w:p w14:paraId="71C180E0" w14:textId="47F7FA2C" w:rsidR="00D32A79" w:rsidRDefault="00D32A79" w:rsidP="00295608">
      <w:r>
        <w:t xml:space="preserve">For those individuals who are members of a professional body e.g. LIBF or CII/PFS, it </w:t>
      </w:r>
      <w:proofErr w:type="gramStart"/>
      <w:r>
        <w:t>is recommended</w:t>
      </w:r>
      <w:proofErr w:type="gramEnd"/>
      <w:r>
        <w:t xml:space="preserve"> that they use the online CPD recording tool for their professional body</w:t>
      </w:r>
      <w:proofErr w:type="gramStart"/>
      <w:r>
        <w:t xml:space="preserve">.  </w:t>
      </w:r>
      <w:proofErr w:type="gramEnd"/>
    </w:p>
    <w:p w14:paraId="37A0D452" w14:textId="22DEDCCC" w:rsidR="00D32A79" w:rsidRPr="000F487F" w:rsidRDefault="00D32A79" w:rsidP="00CD1317">
      <w:pPr>
        <w:pStyle w:val="Heading1"/>
        <w:rPr>
          <w:rFonts w:eastAsia="Times New Roman"/>
          <w:color w:val="auto"/>
          <w:lang w:eastAsia="en-GB"/>
        </w:rPr>
      </w:pPr>
      <w:bookmarkStart w:id="16" w:name="_Toc310232470"/>
      <w:bookmarkStart w:id="17" w:name="_Toc210575271"/>
      <w:bookmarkStart w:id="18" w:name="_Toc210575272"/>
      <w:bookmarkStart w:id="19" w:name="_Toc199838633"/>
      <w:r w:rsidRPr="000F487F">
        <w:rPr>
          <w:rFonts w:eastAsia="Times New Roman"/>
          <w:color w:val="auto"/>
          <w:lang w:eastAsia="en-GB"/>
        </w:rPr>
        <w:t>Supervision &amp; Monitoring</w:t>
      </w:r>
      <w:bookmarkEnd w:id="16"/>
      <w:bookmarkEnd w:id="17"/>
      <w:bookmarkEnd w:id="18"/>
      <w:bookmarkEnd w:id="19"/>
    </w:p>
    <w:p w14:paraId="1487B268" w14:textId="241217BD" w:rsidR="00B071BC" w:rsidRPr="00B071BC" w:rsidRDefault="00B071BC" w:rsidP="00B071BC">
      <w:pPr>
        <w:rPr>
          <w:rFonts w:eastAsia="Times New Roman" w:cs="Times New Roman"/>
          <w:lang w:eastAsia="en-GB"/>
        </w:rPr>
      </w:pPr>
      <w:r w:rsidRPr="00B071BC">
        <w:rPr>
          <w:rFonts w:eastAsia="Times New Roman" w:cs="Times New Roman"/>
          <w:lang w:eastAsia="en-GB"/>
        </w:rPr>
        <w:t>The effectiveness of our Training &amp; Competence</w:t>
      </w:r>
      <w:r>
        <w:rPr>
          <w:rFonts w:eastAsia="Times New Roman" w:cs="Times New Roman"/>
          <w:lang w:eastAsia="en-GB"/>
        </w:rPr>
        <w:t xml:space="preserve"> </w:t>
      </w:r>
      <w:r w:rsidRPr="00B071BC">
        <w:rPr>
          <w:rFonts w:eastAsia="Times New Roman" w:cs="Times New Roman"/>
          <w:lang w:eastAsia="en-GB"/>
        </w:rPr>
        <w:t xml:space="preserve">framework relies heavily on the capability of those tasked with supervising advisers. Supervisors play a crucial role in supporting </w:t>
      </w:r>
      <w:r>
        <w:rPr>
          <w:rFonts w:eastAsia="Times New Roman" w:cs="Times New Roman"/>
          <w:lang w:eastAsia="en-GB"/>
        </w:rPr>
        <w:t xml:space="preserve">our </w:t>
      </w:r>
      <w:r w:rsidRPr="00B071BC">
        <w:rPr>
          <w:rFonts w:eastAsia="Times New Roman" w:cs="Times New Roman"/>
          <w:lang w:eastAsia="en-GB"/>
        </w:rPr>
        <w:t xml:space="preserve">adviser development </w:t>
      </w:r>
      <w:r>
        <w:rPr>
          <w:rFonts w:eastAsia="Times New Roman" w:cs="Times New Roman"/>
          <w:lang w:eastAsia="en-GB"/>
        </w:rPr>
        <w:t xml:space="preserve">by </w:t>
      </w:r>
      <w:r w:rsidRPr="00B071BC">
        <w:rPr>
          <w:rFonts w:eastAsia="Times New Roman" w:cs="Times New Roman"/>
          <w:lang w:eastAsia="en-GB"/>
        </w:rPr>
        <w:t xml:space="preserve">assessing </w:t>
      </w:r>
      <w:proofErr w:type="gramStart"/>
      <w:r w:rsidRPr="00B071BC">
        <w:rPr>
          <w:rFonts w:eastAsia="Times New Roman" w:cs="Times New Roman"/>
          <w:lang w:eastAsia="en-GB"/>
        </w:rPr>
        <w:t>competence, and</w:t>
      </w:r>
      <w:proofErr w:type="gramEnd"/>
      <w:r w:rsidRPr="00B071BC">
        <w:rPr>
          <w:rFonts w:eastAsia="Times New Roman" w:cs="Times New Roman"/>
          <w:lang w:eastAsia="en-GB"/>
        </w:rPr>
        <w:t xml:space="preserve"> maintaining </w:t>
      </w:r>
      <w:proofErr w:type="gramStart"/>
      <w:r w:rsidRPr="00B071BC">
        <w:rPr>
          <w:rFonts w:eastAsia="Times New Roman" w:cs="Times New Roman"/>
          <w:lang w:eastAsia="en-GB"/>
        </w:rPr>
        <w:t>high standards</w:t>
      </w:r>
      <w:proofErr w:type="gramEnd"/>
      <w:r w:rsidRPr="00B071BC">
        <w:rPr>
          <w:rFonts w:eastAsia="Times New Roman" w:cs="Times New Roman"/>
          <w:lang w:eastAsia="en-GB"/>
        </w:rPr>
        <w:t xml:space="preserve"> across the advice process.</w:t>
      </w:r>
    </w:p>
    <w:p w14:paraId="5E26F616" w14:textId="28719397" w:rsidR="00300AC7" w:rsidRPr="00B071BC" w:rsidRDefault="00B071BC" w:rsidP="00B071BC">
      <w:pPr>
        <w:rPr>
          <w:rFonts w:eastAsia="Times New Roman" w:cs="Times New Roman"/>
          <w:lang w:eastAsia="en-GB"/>
        </w:rPr>
      </w:pPr>
      <w:r w:rsidRPr="00B071BC">
        <w:rPr>
          <w:rFonts w:eastAsia="Times New Roman" w:cs="Times New Roman"/>
          <w:lang w:eastAsia="en-GB"/>
        </w:rPr>
        <w:t>When selecting individuals for supervisory roles, we apply a structured assessment to ensure they are well</w:t>
      </w:r>
      <w:r>
        <w:rPr>
          <w:rFonts w:eastAsia="Times New Roman" w:cs="Times New Roman"/>
          <w:lang w:eastAsia="en-GB"/>
        </w:rPr>
        <w:t xml:space="preserve"> </w:t>
      </w:r>
      <w:r w:rsidRPr="00B071BC">
        <w:rPr>
          <w:rFonts w:eastAsia="Times New Roman" w:cs="Times New Roman"/>
          <w:lang w:eastAsia="en-GB"/>
        </w:rPr>
        <w:t>suited to the responsibilities involved.</w:t>
      </w:r>
    </w:p>
    <w:p w14:paraId="74D3A67E" w14:textId="77777777" w:rsidR="00B071BC" w:rsidRDefault="00B071BC" w:rsidP="00D32A79">
      <w:pPr>
        <w:rPr>
          <w:rFonts w:eastAsia="Times New Roman" w:cs="Times New Roman"/>
          <w:lang w:eastAsia="en-GB"/>
        </w:rPr>
      </w:pPr>
    </w:p>
    <w:p w14:paraId="453F1F6E" w14:textId="31967A04" w:rsidR="00CD1317" w:rsidRPr="00B071BC" w:rsidRDefault="00CD1317" w:rsidP="00D32A79">
      <w:pPr>
        <w:rPr>
          <w:rFonts w:eastAsia="Times New Roman" w:cs="Times New Roman"/>
          <w:lang w:eastAsia="en-GB"/>
        </w:rPr>
      </w:pPr>
      <w:r w:rsidRPr="00B071BC">
        <w:rPr>
          <w:rFonts w:eastAsia="Times New Roman" w:cs="Times New Roman"/>
          <w:lang w:eastAsia="en-GB"/>
        </w:rPr>
        <w:t xml:space="preserve">According to the FCA’s T&amp;C sourcebook: </w:t>
      </w:r>
      <w:r w:rsidRPr="00B071BC">
        <w:rPr>
          <w:rFonts w:eastAsia="Times New Roman" w:cs="Times New Roman"/>
          <w:i/>
          <w:iCs/>
          <w:lang w:eastAsia="en-GB"/>
        </w:rPr>
        <w:t xml:space="preserve">“A firm must ensure that an employee does not </w:t>
      </w:r>
      <w:proofErr w:type="gramStart"/>
      <w:r w:rsidRPr="00B071BC">
        <w:rPr>
          <w:rFonts w:eastAsia="Times New Roman" w:cs="Times New Roman"/>
          <w:i/>
          <w:iCs/>
          <w:lang w:eastAsia="en-GB"/>
        </w:rPr>
        <w:t>carry on</w:t>
      </w:r>
      <w:proofErr w:type="gramEnd"/>
      <w:r w:rsidRPr="00B071BC">
        <w:rPr>
          <w:rFonts w:eastAsia="Times New Roman" w:cs="Times New Roman"/>
          <w:i/>
          <w:iCs/>
          <w:lang w:eastAsia="en-GB"/>
        </w:rPr>
        <w:t xml:space="preserve"> an activity in TC Appendix 1 unless the employee has been assessed as competent to do so."</w:t>
      </w:r>
    </w:p>
    <w:p w14:paraId="6ADACB83" w14:textId="5C5F4684" w:rsidR="00CD1317" w:rsidRDefault="00B071BC" w:rsidP="00D32A79">
      <w:pPr>
        <w:rPr>
          <w:rFonts w:eastAsia="Times New Roman" w:cs="Times New Roman"/>
          <w:lang w:eastAsia="en-GB"/>
        </w:rPr>
      </w:pPr>
      <w:r w:rsidRPr="00B071BC">
        <w:rPr>
          <w:rFonts w:eastAsia="Times New Roman" w:cs="Times New Roman"/>
          <w:lang w:eastAsia="en-GB"/>
        </w:rPr>
        <w:lastRenderedPageBreak/>
        <w:t>This requirement extends to supervisory roles, emphasi</w:t>
      </w:r>
      <w:r>
        <w:rPr>
          <w:rFonts w:eastAsia="Times New Roman" w:cs="Times New Roman"/>
          <w:lang w:eastAsia="en-GB"/>
        </w:rPr>
        <w:t>s</w:t>
      </w:r>
      <w:r w:rsidRPr="00B071BC">
        <w:rPr>
          <w:rFonts w:eastAsia="Times New Roman" w:cs="Times New Roman"/>
          <w:lang w:eastAsia="en-GB"/>
        </w:rPr>
        <w:t>ing the need for supervisors to possess and maintain the appropriate skills and knowledge to oversee others effectively.</w:t>
      </w:r>
    </w:p>
    <w:p w14:paraId="4563D0DF" w14:textId="222DB631" w:rsidR="00B071BC" w:rsidRPr="00B071BC" w:rsidRDefault="00B071BC" w:rsidP="00B071BC">
      <w:pPr>
        <w:jc w:val="left"/>
        <w:rPr>
          <w:rFonts w:eastAsia="Times New Roman" w:cs="Times New Roman"/>
          <w:lang w:eastAsia="en-GB"/>
        </w:rPr>
      </w:pPr>
      <w:r>
        <w:rPr>
          <w:rFonts w:eastAsia="Times New Roman" w:cs="Times New Roman"/>
          <w:lang w:eastAsia="en-GB"/>
        </w:rPr>
        <w:t>We expect our supervisors to be able to demonstrate the following</w:t>
      </w:r>
      <w:r w:rsidRPr="00B071BC">
        <w:rPr>
          <w:rFonts w:eastAsia="Times New Roman" w:cs="Times New Roman"/>
          <w:lang w:eastAsia="en-GB"/>
        </w:rPr>
        <w:t xml:space="preserve"> core attributes:</w:t>
      </w:r>
    </w:p>
    <w:p w14:paraId="2150CA4A" w14:textId="77777777" w:rsidR="00B071BC" w:rsidRPr="00B071BC" w:rsidRDefault="00B071BC" w:rsidP="006839B9">
      <w:pPr>
        <w:numPr>
          <w:ilvl w:val="0"/>
          <w:numId w:val="32"/>
        </w:numPr>
        <w:jc w:val="left"/>
        <w:rPr>
          <w:rFonts w:eastAsia="Times New Roman" w:cs="Times New Roman"/>
          <w:lang w:eastAsia="en-GB"/>
        </w:rPr>
      </w:pPr>
      <w:r w:rsidRPr="00B071BC">
        <w:rPr>
          <w:rFonts w:eastAsia="Times New Roman" w:cs="Times New Roman"/>
          <w:b/>
          <w:bCs/>
          <w:lang w:eastAsia="en-GB"/>
        </w:rPr>
        <w:t>Relevant Industry Experience</w:t>
      </w:r>
      <w:r w:rsidRPr="00B071BC">
        <w:rPr>
          <w:rFonts w:eastAsia="Times New Roman" w:cs="Times New Roman"/>
          <w:lang w:eastAsia="en-GB"/>
        </w:rPr>
        <w:br/>
        <w:t>Prior experience in a regulated advisory environment is essential, particularly where individuals will be overseeing advisers working towards competence.</w:t>
      </w:r>
    </w:p>
    <w:p w14:paraId="336D331A" w14:textId="77777777" w:rsidR="00B071BC" w:rsidRPr="00B071BC" w:rsidRDefault="00B071BC" w:rsidP="006839B9">
      <w:pPr>
        <w:numPr>
          <w:ilvl w:val="0"/>
          <w:numId w:val="32"/>
        </w:numPr>
        <w:jc w:val="left"/>
        <w:rPr>
          <w:rFonts w:eastAsia="Times New Roman" w:cs="Times New Roman"/>
          <w:lang w:eastAsia="en-GB"/>
        </w:rPr>
      </w:pPr>
      <w:r w:rsidRPr="00B071BC">
        <w:rPr>
          <w:rFonts w:eastAsia="Times New Roman" w:cs="Times New Roman"/>
          <w:b/>
          <w:bCs/>
          <w:lang w:eastAsia="en-GB"/>
        </w:rPr>
        <w:t>Technical Competence</w:t>
      </w:r>
      <w:r w:rsidRPr="00B071BC">
        <w:rPr>
          <w:rFonts w:eastAsia="Times New Roman" w:cs="Times New Roman"/>
          <w:lang w:eastAsia="en-GB"/>
        </w:rPr>
        <w:br/>
        <w:t xml:space="preserve">A strong understanding of regulatory expectations, advice processes, and the firm’s products and services </w:t>
      </w:r>
      <w:proofErr w:type="gramStart"/>
      <w:r w:rsidRPr="00B071BC">
        <w:rPr>
          <w:rFonts w:eastAsia="Times New Roman" w:cs="Times New Roman"/>
          <w:lang w:eastAsia="en-GB"/>
        </w:rPr>
        <w:t>is required</w:t>
      </w:r>
      <w:proofErr w:type="gramEnd"/>
      <w:r w:rsidRPr="00B071BC">
        <w:rPr>
          <w:rFonts w:eastAsia="Times New Roman" w:cs="Times New Roman"/>
          <w:lang w:eastAsia="en-GB"/>
        </w:rPr>
        <w:t xml:space="preserve">. This knowledge </w:t>
      </w:r>
      <w:proofErr w:type="gramStart"/>
      <w:r w:rsidRPr="00B071BC">
        <w:rPr>
          <w:rFonts w:eastAsia="Times New Roman" w:cs="Times New Roman"/>
          <w:lang w:eastAsia="en-GB"/>
        </w:rPr>
        <w:t>is assessed</w:t>
      </w:r>
      <w:proofErr w:type="gramEnd"/>
      <w:r w:rsidRPr="00B071BC">
        <w:rPr>
          <w:rFonts w:eastAsia="Times New Roman" w:cs="Times New Roman"/>
          <w:lang w:eastAsia="en-GB"/>
        </w:rPr>
        <w:t xml:space="preserve"> internally, with additional technical support provided where needed.</w:t>
      </w:r>
    </w:p>
    <w:p w14:paraId="7F4E4B73" w14:textId="77777777" w:rsidR="00B071BC" w:rsidRPr="00B071BC" w:rsidRDefault="00B071BC" w:rsidP="006839B9">
      <w:pPr>
        <w:numPr>
          <w:ilvl w:val="0"/>
          <w:numId w:val="32"/>
        </w:numPr>
        <w:jc w:val="left"/>
        <w:rPr>
          <w:rFonts w:eastAsia="Times New Roman" w:cs="Times New Roman"/>
          <w:lang w:eastAsia="en-GB"/>
        </w:rPr>
      </w:pPr>
      <w:r w:rsidRPr="00B071BC">
        <w:rPr>
          <w:rFonts w:eastAsia="Times New Roman" w:cs="Times New Roman"/>
          <w:b/>
          <w:bCs/>
          <w:lang w:eastAsia="en-GB"/>
        </w:rPr>
        <w:t>Coaching and Assessment Skills</w:t>
      </w:r>
      <w:r w:rsidRPr="00B071BC">
        <w:rPr>
          <w:rFonts w:eastAsia="Times New Roman" w:cs="Times New Roman"/>
          <w:lang w:eastAsia="en-GB"/>
        </w:rPr>
        <w:br/>
        <w:t xml:space="preserve">Supervisors must be capable of providing constructive feedback, developing others, and assessing performance fairly and consistently. Where appropriate, candidates may </w:t>
      </w:r>
      <w:proofErr w:type="gramStart"/>
      <w:r w:rsidRPr="00B071BC">
        <w:rPr>
          <w:rFonts w:eastAsia="Times New Roman" w:cs="Times New Roman"/>
          <w:lang w:eastAsia="en-GB"/>
        </w:rPr>
        <w:t>be asked</w:t>
      </w:r>
      <w:proofErr w:type="gramEnd"/>
      <w:r w:rsidRPr="00B071BC">
        <w:rPr>
          <w:rFonts w:eastAsia="Times New Roman" w:cs="Times New Roman"/>
          <w:lang w:eastAsia="en-GB"/>
        </w:rPr>
        <w:t xml:space="preserve"> to complete a formal supervisory skills or coaching course to ensure their capability </w:t>
      </w:r>
      <w:proofErr w:type="gramStart"/>
      <w:r w:rsidRPr="00B071BC">
        <w:rPr>
          <w:rFonts w:eastAsia="Times New Roman" w:cs="Times New Roman"/>
          <w:lang w:eastAsia="en-GB"/>
        </w:rPr>
        <w:t>is externally validated</w:t>
      </w:r>
      <w:proofErr w:type="gramEnd"/>
      <w:r w:rsidRPr="00B071BC">
        <w:rPr>
          <w:rFonts w:eastAsia="Times New Roman" w:cs="Times New Roman"/>
          <w:lang w:eastAsia="en-GB"/>
        </w:rPr>
        <w:t>.</w:t>
      </w:r>
    </w:p>
    <w:p w14:paraId="79B18744" w14:textId="77777777" w:rsidR="00B071BC" w:rsidRDefault="00B071BC" w:rsidP="006839B9">
      <w:pPr>
        <w:numPr>
          <w:ilvl w:val="0"/>
          <w:numId w:val="32"/>
        </w:numPr>
        <w:jc w:val="left"/>
        <w:rPr>
          <w:rFonts w:eastAsia="Times New Roman" w:cs="Times New Roman"/>
          <w:lang w:eastAsia="en-GB"/>
        </w:rPr>
      </w:pPr>
      <w:r w:rsidRPr="00B071BC">
        <w:rPr>
          <w:rFonts w:eastAsia="Times New Roman" w:cs="Times New Roman"/>
          <w:b/>
          <w:bCs/>
          <w:lang w:eastAsia="en-GB"/>
        </w:rPr>
        <w:t>Regulatory Qualifications</w:t>
      </w:r>
      <w:r w:rsidRPr="00B071BC">
        <w:rPr>
          <w:rFonts w:eastAsia="Times New Roman" w:cs="Times New Roman"/>
          <w:lang w:eastAsia="en-GB"/>
        </w:rPr>
        <w:br/>
        <w:t>Where supervisors are responsible for overseeing advisers who are not yet competent in giving investment advice, they must hold a relevant Level 4 qualification or higher, in line with FCA expectations under the Training &amp; Competence rules.</w:t>
      </w:r>
    </w:p>
    <w:p w14:paraId="73D13434" w14:textId="77777777" w:rsidR="00B071BC" w:rsidRPr="00B071BC" w:rsidRDefault="00B071BC" w:rsidP="00B071BC">
      <w:pPr>
        <w:ind w:left="720"/>
        <w:jc w:val="left"/>
        <w:rPr>
          <w:rFonts w:eastAsia="Times New Roman" w:cs="Times New Roman"/>
          <w:lang w:eastAsia="en-GB"/>
        </w:rPr>
      </w:pPr>
    </w:p>
    <w:p w14:paraId="40BAD7CC" w14:textId="631A719F" w:rsidR="00D32A79" w:rsidRDefault="00B071BC" w:rsidP="00D32A79">
      <w:pPr>
        <w:rPr>
          <w:rFonts w:eastAsia="Times New Roman" w:cs="Times New Roman"/>
          <w:lang w:eastAsia="en-GB"/>
        </w:rPr>
      </w:pPr>
      <w:r w:rsidRPr="00B071BC">
        <w:rPr>
          <w:rFonts w:eastAsia="Times New Roman" w:cs="Times New Roman"/>
          <w:lang w:eastAsia="en-GB"/>
        </w:rPr>
        <w:t xml:space="preserve">All supervisor appointments </w:t>
      </w:r>
      <w:proofErr w:type="gramStart"/>
      <w:r w:rsidRPr="00B071BC">
        <w:rPr>
          <w:rFonts w:eastAsia="Times New Roman" w:cs="Times New Roman"/>
          <w:lang w:eastAsia="en-GB"/>
        </w:rPr>
        <w:t>are overseen</w:t>
      </w:r>
      <w:proofErr w:type="gramEnd"/>
      <w:r w:rsidRPr="00B071BC">
        <w:rPr>
          <w:rFonts w:eastAsia="Times New Roman" w:cs="Times New Roman"/>
          <w:lang w:eastAsia="en-GB"/>
        </w:rPr>
        <w:t xml:space="preserve"> by the </w:t>
      </w:r>
      <w:r w:rsidRPr="00B071BC">
        <w:rPr>
          <w:rFonts w:eastAsia="Times New Roman" w:cs="Times New Roman"/>
          <w:color w:val="FF0000"/>
          <w:lang w:eastAsia="en-GB"/>
        </w:rPr>
        <w:t>[insert role, e.g. Head of Compliance or SMF16]</w:t>
      </w:r>
      <w:r w:rsidRPr="00B071BC">
        <w:rPr>
          <w:rFonts w:eastAsia="Times New Roman" w:cs="Times New Roman"/>
          <w:lang w:eastAsia="en-GB"/>
        </w:rPr>
        <w:t>, who is responsible for confirming that the individual meets the firm’s supervisory standards</w:t>
      </w:r>
      <w:r w:rsidR="00C94EAF">
        <w:rPr>
          <w:rFonts w:eastAsia="Times New Roman" w:cs="Times New Roman"/>
          <w:lang w:eastAsia="en-GB"/>
        </w:rPr>
        <w:t>, and for also, at least annually, assessing the quality of the supervisory activities undertaken by the supervisor.</w:t>
      </w:r>
    </w:p>
    <w:p w14:paraId="4925C8F0" w14:textId="77777777" w:rsidR="000D6E2A" w:rsidRDefault="000D6E2A" w:rsidP="00D32A79">
      <w:pPr>
        <w:rPr>
          <w:rFonts w:eastAsia="Times New Roman" w:cs="Times New Roman"/>
          <w:lang w:eastAsia="en-GB"/>
        </w:rPr>
      </w:pPr>
    </w:p>
    <w:p w14:paraId="48B9D557" w14:textId="77777777" w:rsidR="000D6E2A" w:rsidRDefault="000D6E2A" w:rsidP="00D32A79">
      <w:pPr>
        <w:rPr>
          <w:rFonts w:eastAsia="Times New Roman" w:cs="Times New Roman"/>
          <w:lang w:eastAsia="en-GB"/>
        </w:rPr>
      </w:pPr>
    </w:p>
    <w:p w14:paraId="0AFED768" w14:textId="77777777" w:rsidR="000D6E2A" w:rsidRPr="000F487F" w:rsidRDefault="000D6E2A" w:rsidP="000D6E2A">
      <w:pPr>
        <w:pStyle w:val="Heading2"/>
        <w:rPr>
          <w:rFonts w:eastAsia="Times New Roman"/>
          <w:color w:val="auto"/>
          <w:lang w:eastAsia="en-GB"/>
        </w:rPr>
      </w:pPr>
      <w:bookmarkStart w:id="20" w:name="_Toc199838634"/>
      <w:r w:rsidRPr="000F487F">
        <w:rPr>
          <w:rFonts w:eastAsia="Times New Roman"/>
          <w:color w:val="auto"/>
          <w:lang w:eastAsia="en-GB"/>
        </w:rPr>
        <w:t>Effective Spans of Control for Supervision</w:t>
      </w:r>
      <w:bookmarkEnd w:id="20"/>
    </w:p>
    <w:p w14:paraId="6D9A6933" w14:textId="4E20D225" w:rsidR="000D6E2A" w:rsidRDefault="000D6E2A" w:rsidP="000D6E2A">
      <w:pPr>
        <w:jc w:val="left"/>
        <w:rPr>
          <w:rFonts w:eastAsia="Times New Roman" w:cs="Times New Roman"/>
          <w:lang w:eastAsia="en-GB"/>
        </w:rPr>
      </w:pPr>
      <w:r w:rsidRPr="000D6E2A">
        <w:rPr>
          <w:rFonts w:eastAsia="Times New Roman" w:cs="Times New Roman"/>
          <w:lang w:eastAsia="en-GB"/>
        </w:rPr>
        <w:t>To maintain high</w:t>
      </w:r>
      <w:r>
        <w:rPr>
          <w:rFonts w:eastAsia="Times New Roman" w:cs="Times New Roman"/>
          <w:lang w:eastAsia="en-GB"/>
        </w:rPr>
        <w:t xml:space="preserve"> </w:t>
      </w:r>
      <w:r w:rsidRPr="000D6E2A">
        <w:rPr>
          <w:rFonts w:eastAsia="Times New Roman" w:cs="Times New Roman"/>
          <w:lang w:eastAsia="en-GB"/>
        </w:rPr>
        <w:t>quality oversight and ensure each adviser receives appropriate support, the firm applies defined spans of control for supervisors. These limits reflect best practice, regulatory expectations, and our internal capacity to monitor and develop individuals effectively.</w:t>
      </w:r>
    </w:p>
    <w:p w14:paraId="66BF38B9" w14:textId="77777777" w:rsidR="000D6E2A" w:rsidRPr="000D6E2A" w:rsidRDefault="000D6E2A" w:rsidP="000D6E2A">
      <w:pPr>
        <w:jc w:val="left"/>
        <w:rPr>
          <w:rFonts w:eastAsia="Times New Roman" w:cs="Times New Roman"/>
          <w:lang w:eastAsia="en-GB"/>
        </w:rPr>
      </w:pPr>
    </w:p>
    <w:p w14:paraId="57C2C11D" w14:textId="77777777" w:rsidR="000D6E2A" w:rsidRDefault="000D6E2A" w:rsidP="000D6E2A">
      <w:pPr>
        <w:rPr>
          <w:rFonts w:eastAsia="Times New Roman" w:cs="Times New Roman"/>
          <w:b/>
          <w:bCs/>
          <w:lang w:eastAsia="en-GB"/>
        </w:rPr>
      </w:pPr>
      <w:r w:rsidRPr="000D6E2A">
        <w:rPr>
          <w:rFonts w:eastAsia="Times New Roman" w:cs="Times New Roman"/>
          <w:b/>
          <w:bCs/>
          <w:lang w:eastAsia="en-GB"/>
        </w:rPr>
        <w:t>Standard Spans of Control</w:t>
      </w:r>
    </w:p>
    <w:p w14:paraId="530AA3F9" w14:textId="02879ED5" w:rsidR="003D05D4" w:rsidRPr="003D05D4" w:rsidRDefault="003D05D4" w:rsidP="000D6E2A">
      <w:pPr>
        <w:rPr>
          <w:rFonts w:eastAsia="Times New Roman" w:cs="Times New Roman"/>
          <w:lang w:eastAsia="en-GB"/>
        </w:rPr>
      </w:pPr>
      <w:r>
        <w:rPr>
          <w:rFonts w:eastAsia="Times New Roman" w:cs="Times New Roman"/>
          <w:lang w:eastAsia="en-GB"/>
        </w:rPr>
        <w:t xml:space="preserve">Each Supervisor should </w:t>
      </w:r>
      <w:r w:rsidR="00AA1DCC">
        <w:rPr>
          <w:rFonts w:eastAsia="Times New Roman" w:cs="Times New Roman"/>
          <w:lang w:eastAsia="en-GB"/>
        </w:rPr>
        <w:t xml:space="preserve">be responsible for no more than </w:t>
      </w:r>
      <w:proofErr w:type="gramStart"/>
      <w:r w:rsidR="00AA1DCC">
        <w:rPr>
          <w:rFonts w:eastAsia="Times New Roman" w:cs="Times New Roman"/>
          <w:lang w:eastAsia="en-GB"/>
        </w:rPr>
        <w:t>12</w:t>
      </w:r>
      <w:proofErr w:type="gramEnd"/>
      <w:r w:rsidR="00AA1DCC">
        <w:rPr>
          <w:rFonts w:eastAsia="Times New Roman" w:cs="Times New Roman"/>
          <w:lang w:eastAsia="en-GB"/>
        </w:rPr>
        <w:t xml:space="preserve"> </w:t>
      </w:r>
      <w:r w:rsidR="009A6207">
        <w:rPr>
          <w:rFonts w:eastAsia="Times New Roman" w:cs="Times New Roman"/>
          <w:lang w:eastAsia="en-GB"/>
        </w:rPr>
        <w:t xml:space="preserve">advisers. The following table shows </w:t>
      </w:r>
      <w:r w:rsidR="0010459B">
        <w:rPr>
          <w:rFonts w:eastAsia="Times New Roman" w:cs="Times New Roman"/>
          <w:lang w:eastAsia="en-GB"/>
        </w:rPr>
        <w:t xml:space="preserve">how advisers at each stage of competency </w:t>
      </w:r>
      <w:proofErr w:type="gramStart"/>
      <w:r w:rsidR="0010459B">
        <w:rPr>
          <w:rFonts w:eastAsia="Times New Roman" w:cs="Times New Roman"/>
          <w:lang w:eastAsia="en-GB"/>
        </w:rPr>
        <w:t>are considered</w:t>
      </w:r>
      <w:proofErr w:type="gramEnd"/>
      <w:r w:rsidR="0010459B">
        <w:rPr>
          <w:rFonts w:eastAsia="Times New Roman" w:cs="Times New Roman"/>
          <w:lang w:eastAsia="en-GB"/>
        </w:rPr>
        <w:t xml:space="preserve"> for T&amp;C purposes:</w:t>
      </w:r>
    </w:p>
    <w:p w14:paraId="193012EE" w14:textId="77777777" w:rsidR="003D05D4" w:rsidRPr="000D6E2A" w:rsidRDefault="003D05D4" w:rsidP="000D6E2A">
      <w:pPr>
        <w:rPr>
          <w:rFonts w:eastAsia="Times New Roman" w:cs="Times New Roman"/>
          <w:b/>
          <w:bCs/>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2683"/>
      </w:tblGrid>
      <w:tr w:rsidR="000D6E2A" w:rsidRPr="000D6E2A" w14:paraId="486E3CEF" w14:textId="77777777" w:rsidTr="000F487F">
        <w:trPr>
          <w:tblHeader/>
          <w:tblCellSpacing w:w="15" w:type="dxa"/>
        </w:trPr>
        <w:tc>
          <w:tcPr>
            <w:tcW w:w="0" w:type="auto"/>
            <w:shd w:val="clear" w:color="auto" w:fill="000000" w:themeFill="text1"/>
            <w:vAlign w:val="center"/>
            <w:hideMark/>
          </w:tcPr>
          <w:p w14:paraId="65774B7A" w14:textId="77777777" w:rsidR="000D6E2A" w:rsidRPr="000D6E2A" w:rsidRDefault="000D6E2A" w:rsidP="000D6E2A">
            <w:pPr>
              <w:rPr>
                <w:rFonts w:eastAsia="Times New Roman" w:cs="Times New Roman"/>
                <w:b/>
                <w:bCs/>
                <w:lang w:eastAsia="en-GB"/>
              </w:rPr>
            </w:pPr>
            <w:r w:rsidRPr="000D6E2A">
              <w:rPr>
                <w:rFonts w:eastAsia="Times New Roman" w:cs="Times New Roman"/>
                <w:b/>
                <w:bCs/>
                <w:lang w:eastAsia="en-GB"/>
              </w:rPr>
              <w:t>Adviser Type</w:t>
            </w:r>
          </w:p>
        </w:tc>
        <w:tc>
          <w:tcPr>
            <w:tcW w:w="0" w:type="auto"/>
            <w:shd w:val="clear" w:color="auto" w:fill="000000" w:themeFill="text1"/>
            <w:vAlign w:val="center"/>
            <w:hideMark/>
          </w:tcPr>
          <w:p w14:paraId="2C976E46" w14:textId="0DEBD5E0" w:rsidR="000D6E2A" w:rsidRPr="000D6E2A" w:rsidRDefault="000D6E2A" w:rsidP="000D6E2A">
            <w:pPr>
              <w:rPr>
                <w:rFonts w:eastAsia="Times New Roman" w:cs="Times New Roman"/>
                <w:b/>
                <w:bCs/>
                <w:lang w:eastAsia="en-GB"/>
              </w:rPr>
            </w:pPr>
            <w:r w:rsidRPr="000D6E2A">
              <w:rPr>
                <w:rFonts w:eastAsia="Times New Roman" w:cs="Times New Roman"/>
                <w:b/>
                <w:bCs/>
                <w:lang w:eastAsia="en-GB"/>
              </w:rPr>
              <w:t>Advisers per Supervisor</w:t>
            </w:r>
          </w:p>
        </w:tc>
      </w:tr>
      <w:tr w:rsidR="000D6E2A" w:rsidRPr="000D6E2A" w14:paraId="099559C0" w14:textId="77777777" w:rsidTr="000D6E2A">
        <w:trPr>
          <w:tblCellSpacing w:w="15" w:type="dxa"/>
        </w:trPr>
        <w:tc>
          <w:tcPr>
            <w:tcW w:w="0" w:type="auto"/>
            <w:vAlign w:val="center"/>
            <w:hideMark/>
          </w:tcPr>
          <w:p w14:paraId="48247DEE" w14:textId="29DF7033" w:rsidR="000D6E2A" w:rsidRPr="000D6E2A" w:rsidRDefault="000D6E2A" w:rsidP="003D05D4">
            <w:pPr>
              <w:jc w:val="left"/>
              <w:rPr>
                <w:rFonts w:eastAsia="Times New Roman" w:cs="Times New Roman"/>
                <w:b/>
                <w:bCs/>
                <w:lang w:eastAsia="en-GB"/>
              </w:rPr>
            </w:pPr>
            <w:r w:rsidRPr="000D6E2A">
              <w:rPr>
                <w:rFonts w:eastAsia="Times New Roman" w:cs="Times New Roman"/>
                <w:lang w:eastAsia="en-GB"/>
              </w:rPr>
              <w:t xml:space="preserve">Advisers </w:t>
            </w:r>
            <w:r w:rsidR="002A56E3" w:rsidRPr="002A56E3">
              <w:rPr>
                <w:rFonts w:eastAsia="Times New Roman" w:cs="Times New Roman"/>
                <w:b/>
                <w:bCs/>
                <w:lang w:eastAsia="en-GB"/>
              </w:rPr>
              <w:t>enhanced supervision (stage 1)</w:t>
            </w:r>
          </w:p>
        </w:tc>
        <w:tc>
          <w:tcPr>
            <w:tcW w:w="0" w:type="auto"/>
            <w:vAlign w:val="center"/>
            <w:hideMark/>
          </w:tcPr>
          <w:p w14:paraId="3AFFFCE3" w14:textId="6795A17B" w:rsidR="000D6E2A" w:rsidRPr="000D6E2A" w:rsidRDefault="004F33D6" w:rsidP="000D6E2A">
            <w:pPr>
              <w:rPr>
                <w:rFonts w:eastAsia="Times New Roman" w:cs="Times New Roman"/>
                <w:b/>
                <w:bCs/>
                <w:lang w:eastAsia="en-GB"/>
              </w:rPr>
            </w:pPr>
            <w:r>
              <w:rPr>
                <w:rFonts w:eastAsia="Times New Roman" w:cs="Times New Roman"/>
                <w:lang w:eastAsia="en-GB"/>
              </w:rPr>
              <w:t xml:space="preserve">Each adviser counts as </w:t>
            </w:r>
            <w:proofErr w:type="gramStart"/>
            <w:r w:rsidR="002A56E3" w:rsidRPr="000F2CDB">
              <w:rPr>
                <w:rFonts w:eastAsia="Times New Roman" w:cs="Times New Roman"/>
                <w:b/>
                <w:bCs/>
                <w:lang w:eastAsia="en-GB"/>
              </w:rPr>
              <w:t>3</w:t>
            </w:r>
            <w:proofErr w:type="gramEnd"/>
          </w:p>
        </w:tc>
      </w:tr>
      <w:tr w:rsidR="000D6E2A" w:rsidRPr="000D6E2A" w14:paraId="2E8E0250" w14:textId="77777777" w:rsidTr="000D6E2A">
        <w:trPr>
          <w:tblCellSpacing w:w="15" w:type="dxa"/>
        </w:trPr>
        <w:tc>
          <w:tcPr>
            <w:tcW w:w="0" w:type="auto"/>
            <w:vAlign w:val="center"/>
            <w:hideMark/>
          </w:tcPr>
          <w:p w14:paraId="41A0C097" w14:textId="35C8373E" w:rsidR="000D6E2A" w:rsidRPr="000D6E2A" w:rsidRDefault="000D6E2A" w:rsidP="003D05D4">
            <w:pPr>
              <w:jc w:val="left"/>
              <w:rPr>
                <w:rFonts w:eastAsia="Times New Roman" w:cs="Times New Roman"/>
                <w:lang w:eastAsia="en-GB"/>
              </w:rPr>
            </w:pPr>
            <w:r w:rsidRPr="000D6E2A">
              <w:rPr>
                <w:rFonts w:eastAsia="Times New Roman" w:cs="Times New Roman"/>
                <w:lang w:eastAsia="en-GB"/>
              </w:rPr>
              <w:t xml:space="preserve">Advisers </w:t>
            </w:r>
            <w:r w:rsidRPr="000D6E2A">
              <w:rPr>
                <w:rFonts w:eastAsia="Times New Roman" w:cs="Times New Roman"/>
                <w:b/>
                <w:bCs/>
                <w:lang w:eastAsia="en-GB"/>
              </w:rPr>
              <w:t>enhanced supervision</w:t>
            </w:r>
            <w:r w:rsidR="002A56E3">
              <w:rPr>
                <w:rFonts w:eastAsia="Times New Roman" w:cs="Times New Roman"/>
                <w:b/>
                <w:bCs/>
                <w:lang w:eastAsia="en-GB"/>
              </w:rPr>
              <w:t xml:space="preserve"> (stage 2)</w:t>
            </w:r>
          </w:p>
        </w:tc>
        <w:tc>
          <w:tcPr>
            <w:tcW w:w="0" w:type="auto"/>
            <w:vAlign w:val="center"/>
            <w:hideMark/>
          </w:tcPr>
          <w:p w14:paraId="4F093047" w14:textId="581BF272" w:rsidR="000D6E2A" w:rsidRPr="000D6E2A" w:rsidRDefault="002A56E3" w:rsidP="000D6E2A">
            <w:pPr>
              <w:rPr>
                <w:rFonts w:eastAsia="Times New Roman" w:cs="Times New Roman"/>
                <w:lang w:eastAsia="en-GB"/>
              </w:rPr>
            </w:pPr>
            <w:r>
              <w:rPr>
                <w:rFonts w:eastAsia="Times New Roman" w:cs="Times New Roman"/>
                <w:lang w:eastAsia="en-GB"/>
              </w:rPr>
              <w:t>Each adviser counts as</w:t>
            </w:r>
            <w:r w:rsidRPr="000F2CDB">
              <w:rPr>
                <w:rFonts w:eastAsia="Times New Roman" w:cs="Times New Roman"/>
                <w:b/>
                <w:bCs/>
                <w:lang w:eastAsia="en-GB"/>
              </w:rPr>
              <w:t xml:space="preserve"> </w:t>
            </w:r>
            <w:proofErr w:type="gramStart"/>
            <w:r w:rsidRPr="000F2CDB">
              <w:rPr>
                <w:rFonts w:eastAsia="Times New Roman" w:cs="Times New Roman"/>
                <w:b/>
                <w:bCs/>
                <w:lang w:eastAsia="en-GB"/>
              </w:rPr>
              <w:t>2</w:t>
            </w:r>
            <w:proofErr w:type="gramEnd"/>
          </w:p>
        </w:tc>
      </w:tr>
      <w:tr w:rsidR="000D6E2A" w:rsidRPr="000D6E2A" w14:paraId="2365E7BB" w14:textId="77777777" w:rsidTr="000D6E2A">
        <w:trPr>
          <w:tblCellSpacing w:w="15" w:type="dxa"/>
        </w:trPr>
        <w:tc>
          <w:tcPr>
            <w:tcW w:w="0" w:type="auto"/>
            <w:vAlign w:val="center"/>
            <w:hideMark/>
          </w:tcPr>
          <w:p w14:paraId="18FB8DD5" w14:textId="77777777" w:rsidR="000D6E2A" w:rsidRPr="000D6E2A" w:rsidRDefault="000D6E2A" w:rsidP="003D05D4">
            <w:pPr>
              <w:jc w:val="left"/>
              <w:rPr>
                <w:rFonts w:eastAsia="Times New Roman" w:cs="Times New Roman"/>
                <w:lang w:eastAsia="en-GB"/>
              </w:rPr>
            </w:pPr>
            <w:r w:rsidRPr="000D6E2A">
              <w:rPr>
                <w:rFonts w:eastAsia="Times New Roman" w:cs="Times New Roman"/>
                <w:lang w:eastAsia="en-GB"/>
              </w:rPr>
              <w:t xml:space="preserve">Advisers assessed as </w:t>
            </w:r>
            <w:r w:rsidRPr="000D6E2A">
              <w:rPr>
                <w:rFonts w:eastAsia="Times New Roman" w:cs="Times New Roman"/>
                <w:b/>
                <w:bCs/>
                <w:lang w:eastAsia="en-GB"/>
              </w:rPr>
              <w:t>competent</w:t>
            </w:r>
          </w:p>
        </w:tc>
        <w:tc>
          <w:tcPr>
            <w:tcW w:w="0" w:type="auto"/>
            <w:vAlign w:val="center"/>
            <w:hideMark/>
          </w:tcPr>
          <w:p w14:paraId="057CE4E5" w14:textId="1697D84B" w:rsidR="000D6E2A" w:rsidRPr="000D6E2A" w:rsidRDefault="000F2CDB" w:rsidP="000D6E2A">
            <w:pPr>
              <w:rPr>
                <w:rFonts w:eastAsia="Times New Roman" w:cs="Times New Roman"/>
                <w:lang w:eastAsia="en-GB"/>
              </w:rPr>
            </w:pPr>
            <w:r>
              <w:rPr>
                <w:rFonts w:eastAsia="Times New Roman" w:cs="Times New Roman"/>
                <w:lang w:eastAsia="en-GB"/>
              </w:rPr>
              <w:t xml:space="preserve">Each adviser counts as </w:t>
            </w:r>
            <w:proofErr w:type="gramStart"/>
            <w:r w:rsidRPr="000F2CDB">
              <w:rPr>
                <w:rFonts w:eastAsia="Times New Roman" w:cs="Times New Roman"/>
                <w:b/>
                <w:bCs/>
                <w:lang w:eastAsia="en-GB"/>
              </w:rPr>
              <w:t>1</w:t>
            </w:r>
            <w:proofErr w:type="gramEnd"/>
          </w:p>
        </w:tc>
      </w:tr>
    </w:tbl>
    <w:p w14:paraId="1777AFCD" w14:textId="77777777" w:rsidR="000D6E2A" w:rsidRPr="000D6E2A" w:rsidRDefault="000D6E2A" w:rsidP="008D5DF7">
      <w:pPr>
        <w:jc w:val="left"/>
        <w:rPr>
          <w:rFonts w:eastAsia="Times New Roman" w:cs="Times New Roman"/>
          <w:lang w:eastAsia="en-GB"/>
        </w:rPr>
      </w:pPr>
      <w:r w:rsidRPr="000D6E2A">
        <w:rPr>
          <w:rFonts w:eastAsia="Times New Roman" w:cs="Times New Roman"/>
          <w:lang w:eastAsia="en-GB"/>
        </w:rPr>
        <w:t>These limits ensure supervisors have sufficient time and resource to complete observations, file reviews, 1:1 meetings, and development planning without compromising oversight quality.</w:t>
      </w:r>
    </w:p>
    <w:p w14:paraId="65A00E28" w14:textId="21E641C5" w:rsidR="000D6E2A" w:rsidRPr="000D6E2A" w:rsidRDefault="000D6E2A" w:rsidP="000D6E2A">
      <w:pPr>
        <w:rPr>
          <w:rFonts w:eastAsia="Times New Roman" w:cs="Times New Roman"/>
          <w:lang w:eastAsia="en-GB"/>
        </w:rPr>
      </w:pPr>
    </w:p>
    <w:p w14:paraId="484C07B2" w14:textId="77777777" w:rsidR="000D6E2A" w:rsidRPr="000D6E2A" w:rsidRDefault="000D6E2A" w:rsidP="000D6E2A">
      <w:pPr>
        <w:rPr>
          <w:rFonts w:eastAsia="Times New Roman" w:cs="Times New Roman"/>
          <w:b/>
          <w:bCs/>
          <w:lang w:eastAsia="en-GB"/>
        </w:rPr>
      </w:pPr>
      <w:r w:rsidRPr="000D6E2A">
        <w:rPr>
          <w:rFonts w:eastAsia="Times New Roman" w:cs="Times New Roman"/>
          <w:b/>
          <w:bCs/>
          <w:lang w:eastAsia="en-GB"/>
        </w:rPr>
        <w:t>Temporary Variations to Span of Control</w:t>
      </w:r>
    </w:p>
    <w:p w14:paraId="27D01879" w14:textId="77777777" w:rsidR="000D6E2A" w:rsidRPr="000D6E2A" w:rsidRDefault="000D6E2A" w:rsidP="000D6E2A">
      <w:pPr>
        <w:rPr>
          <w:rFonts w:eastAsia="Times New Roman" w:cs="Times New Roman"/>
          <w:lang w:eastAsia="en-GB"/>
        </w:rPr>
      </w:pPr>
      <w:r w:rsidRPr="000D6E2A">
        <w:rPr>
          <w:rFonts w:eastAsia="Times New Roman" w:cs="Times New Roman"/>
          <w:lang w:eastAsia="en-GB"/>
        </w:rPr>
        <w:t xml:space="preserve">In </w:t>
      </w:r>
      <w:proofErr w:type="gramStart"/>
      <w:r w:rsidRPr="000D6E2A">
        <w:rPr>
          <w:rFonts w:eastAsia="Times New Roman" w:cs="Times New Roman"/>
          <w:lang w:eastAsia="en-GB"/>
        </w:rPr>
        <w:t>some</w:t>
      </w:r>
      <w:proofErr w:type="gramEnd"/>
      <w:r w:rsidRPr="000D6E2A">
        <w:rPr>
          <w:rFonts w:eastAsia="Times New Roman" w:cs="Times New Roman"/>
          <w:lang w:eastAsia="en-GB"/>
        </w:rPr>
        <w:t xml:space="preserve"> circumstances, a supervisor may temporarily exceed the standard span of control, such as:</w:t>
      </w:r>
    </w:p>
    <w:p w14:paraId="7547A781" w14:textId="77777777" w:rsidR="000D6E2A" w:rsidRPr="008D5DF7" w:rsidRDefault="000D6E2A" w:rsidP="008D5DF7">
      <w:pPr>
        <w:pStyle w:val="ListParagraph"/>
        <w:numPr>
          <w:ilvl w:val="0"/>
          <w:numId w:val="43"/>
        </w:numPr>
        <w:tabs>
          <w:tab w:val="num" w:pos="720"/>
        </w:tabs>
        <w:rPr>
          <w:rFonts w:eastAsia="Times New Roman" w:cs="Times New Roman"/>
          <w:lang w:eastAsia="en-GB"/>
        </w:rPr>
      </w:pPr>
      <w:r w:rsidRPr="008D5DF7">
        <w:rPr>
          <w:rFonts w:eastAsia="Times New Roman" w:cs="Times New Roman"/>
          <w:lang w:eastAsia="en-GB"/>
        </w:rPr>
        <w:t>Covering for another supervisor during annual leave or unplanned absence</w:t>
      </w:r>
    </w:p>
    <w:p w14:paraId="58F1FFFD" w14:textId="77777777" w:rsidR="000D6E2A" w:rsidRPr="008D5DF7" w:rsidRDefault="000D6E2A" w:rsidP="008D5DF7">
      <w:pPr>
        <w:pStyle w:val="ListParagraph"/>
        <w:numPr>
          <w:ilvl w:val="0"/>
          <w:numId w:val="43"/>
        </w:numPr>
        <w:tabs>
          <w:tab w:val="num" w:pos="720"/>
        </w:tabs>
        <w:rPr>
          <w:rFonts w:eastAsia="Times New Roman" w:cs="Times New Roman"/>
          <w:lang w:eastAsia="en-GB"/>
        </w:rPr>
      </w:pPr>
      <w:r w:rsidRPr="008D5DF7">
        <w:rPr>
          <w:rFonts w:eastAsia="Times New Roman" w:cs="Times New Roman"/>
          <w:lang w:eastAsia="en-GB"/>
        </w:rPr>
        <w:t>During periods of firm restructuring or adviser recruitment</w:t>
      </w:r>
    </w:p>
    <w:p w14:paraId="56F67E20" w14:textId="77777777" w:rsidR="000D6E2A" w:rsidRPr="008D5DF7" w:rsidRDefault="000D6E2A" w:rsidP="008D5DF7">
      <w:pPr>
        <w:pStyle w:val="ListParagraph"/>
        <w:numPr>
          <w:ilvl w:val="0"/>
          <w:numId w:val="43"/>
        </w:numPr>
        <w:tabs>
          <w:tab w:val="num" w:pos="720"/>
        </w:tabs>
        <w:rPr>
          <w:rFonts w:eastAsia="Times New Roman" w:cs="Times New Roman"/>
          <w:lang w:eastAsia="en-GB"/>
        </w:rPr>
      </w:pPr>
      <w:r w:rsidRPr="008D5DF7">
        <w:rPr>
          <w:rFonts w:eastAsia="Times New Roman" w:cs="Times New Roman"/>
          <w:lang w:eastAsia="en-GB"/>
        </w:rPr>
        <w:t>Short-term reallocation of advisers due to role changes or onboarding overlap</w:t>
      </w:r>
    </w:p>
    <w:p w14:paraId="49517D12" w14:textId="77777777" w:rsidR="000D6E2A" w:rsidRPr="000D6E2A" w:rsidRDefault="000D6E2A" w:rsidP="000D6E2A">
      <w:pPr>
        <w:rPr>
          <w:rFonts w:eastAsia="Times New Roman" w:cs="Times New Roman"/>
          <w:lang w:eastAsia="en-GB"/>
        </w:rPr>
      </w:pPr>
      <w:r w:rsidRPr="000D6E2A">
        <w:rPr>
          <w:rFonts w:eastAsia="Times New Roman" w:cs="Times New Roman"/>
          <w:lang w:eastAsia="en-GB"/>
        </w:rPr>
        <w:t>Any extension beyond the defined limits must:</w:t>
      </w:r>
    </w:p>
    <w:p w14:paraId="56380782" w14:textId="77777777" w:rsidR="000D6E2A" w:rsidRPr="000D6E2A" w:rsidRDefault="000D6E2A" w:rsidP="000D6E2A">
      <w:pPr>
        <w:numPr>
          <w:ilvl w:val="0"/>
          <w:numId w:val="42"/>
        </w:numPr>
        <w:rPr>
          <w:rFonts w:eastAsia="Times New Roman" w:cs="Times New Roman"/>
          <w:lang w:eastAsia="en-GB"/>
        </w:rPr>
      </w:pPr>
      <w:proofErr w:type="gramStart"/>
      <w:r w:rsidRPr="000D6E2A">
        <w:rPr>
          <w:rFonts w:eastAsia="Times New Roman" w:cs="Times New Roman"/>
          <w:lang w:eastAsia="en-GB"/>
        </w:rPr>
        <w:t>Be approved</w:t>
      </w:r>
      <w:proofErr w:type="gramEnd"/>
      <w:r w:rsidRPr="000D6E2A">
        <w:rPr>
          <w:rFonts w:eastAsia="Times New Roman" w:cs="Times New Roman"/>
          <w:lang w:eastAsia="en-GB"/>
        </w:rPr>
        <w:t xml:space="preserve"> in advance by the Head of Compliance or designated SMF16</w:t>
      </w:r>
    </w:p>
    <w:p w14:paraId="3E84FC9D" w14:textId="77777777" w:rsidR="000D6E2A" w:rsidRPr="000D6E2A" w:rsidRDefault="000D6E2A" w:rsidP="000D6E2A">
      <w:pPr>
        <w:numPr>
          <w:ilvl w:val="0"/>
          <w:numId w:val="42"/>
        </w:numPr>
        <w:rPr>
          <w:rFonts w:eastAsia="Times New Roman" w:cs="Times New Roman"/>
          <w:lang w:eastAsia="en-GB"/>
        </w:rPr>
      </w:pPr>
      <w:proofErr w:type="gramStart"/>
      <w:r w:rsidRPr="000D6E2A">
        <w:rPr>
          <w:rFonts w:eastAsia="Times New Roman" w:cs="Times New Roman"/>
          <w:lang w:eastAsia="en-GB"/>
        </w:rPr>
        <w:t>Be clearly documented</w:t>
      </w:r>
      <w:proofErr w:type="gramEnd"/>
      <w:r w:rsidRPr="000D6E2A">
        <w:rPr>
          <w:rFonts w:eastAsia="Times New Roman" w:cs="Times New Roman"/>
          <w:lang w:eastAsia="en-GB"/>
        </w:rPr>
        <w:t>, including duration and rationale</w:t>
      </w:r>
    </w:p>
    <w:p w14:paraId="0EDBEC94" w14:textId="77777777" w:rsidR="000D6E2A" w:rsidRPr="000D6E2A" w:rsidRDefault="000D6E2A" w:rsidP="000D6E2A">
      <w:pPr>
        <w:numPr>
          <w:ilvl w:val="0"/>
          <w:numId w:val="42"/>
        </w:numPr>
        <w:rPr>
          <w:rFonts w:eastAsia="Times New Roman" w:cs="Times New Roman"/>
          <w:lang w:eastAsia="en-GB"/>
        </w:rPr>
      </w:pPr>
      <w:r w:rsidRPr="000D6E2A">
        <w:rPr>
          <w:rFonts w:eastAsia="Times New Roman" w:cs="Times New Roman"/>
          <w:lang w:eastAsia="en-GB"/>
        </w:rPr>
        <w:t>Include steps to mitigate any supervision risk (e.g. prioritising 1:1s or additional file review support)</w:t>
      </w:r>
    </w:p>
    <w:p w14:paraId="260F9F91" w14:textId="77777777" w:rsidR="000D6E2A" w:rsidRDefault="000D6E2A" w:rsidP="000D6E2A">
      <w:pPr>
        <w:rPr>
          <w:rFonts w:eastAsia="Times New Roman" w:cs="Times New Roman"/>
          <w:lang w:eastAsia="en-GB"/>
        </w:rPr>
      </w:pPr>
      <w:r w:rsidRPr="000D6E2A">
        <w:rPr>
          <w:rFonts w:eastAsia="Times New Roman" w:cs="Times New Roman"/>
          <w:lang w:eastAsia="en-GB"/>
        </w:rPr>
        <w:t xml:space="preserve">Regular reviews will </w:t>
      </w:r>
      <w:proofErr w:type="gramStart"/>
      <w:r w:rsidRPr="000D6E2A">
        <w:rPr>
          <w:rFonts w:eastAsia="Times New Roman" w:cs="Times New Roman"/>
          <w:lang w:eastAsia="en-GB"/>
        </w:rPr>
        <w:t>be conducted</w:t>
      </w:r>
      <w:proofErr w:type="gramEnd"/>
      <w:r w:rsidRPr="000D6E2A">
        <w:rPr>
          <w:rFonts w:eastAsia="Times New Roman" w:cs="Times New Roman"/>
          <w:lang w:eastAsia="en-GB"/>
        </w:rPr>
        <w:t xml:space="preserve"> to ensure any temporary changes do not impact adviser support, development, or client outcomes</w:t>
      </w:r>
    </w:p>
    <w:p w14:paraId="367CFBCD" w14:textId="77777777" w:rsidR="008D5DF7" w:rsidRDefault="008D5DF7" w:rsidP="000D6E2A">
      <w:pPr>
        <w:rPr>
          <w:rFonts w:eastAsia="Times New Roman" w:cs="Times New Roman"/>
          <w:lang w:eastAsia="en-GB"/>
        </w:rPr>
      </w:pPr>
    </w:p>
    <w:p w14:paraId="423FE04C" w14:textId="77777777" w:rsidR="008D5DF7" w:rsidRPr="000D6E2A" w:rsidRDefault="008D5DF7" w:rsidP="000D6E2A">
      <w:pPr>
        <w:rPr>
          <w:rFonts w:eastAsia="Times New Roman" w:cs="Times New Roman"/>
          <w:lang w:eastAsia="en-GB"/>
        </w:rPr>
      </w:pPr>
    </w:p>
    <w:p w14:paraId="629AED9B" w14:textId="77777777" w:rsidR="000D6E2A" w:rsidRPr="00C94EAF" w:rsidRDefault="000D6E2A" w:rsidP="00D32A79">
      <w:pPr>
        <w:rPr>
          <w:rFonts w:eastAsia="Times New Roman" w:cs="Times New Roman"/>
          <w:lang w:eastAsia="en-GB"/>
        </w:rPr>
      </w:pPr>
    </w:p>
    <w:p w14:paraId="65BDC406" w14:textId="77777777" w:rsidR="00D32A79" w:rsidRPr="000F487F" w:rsidRDefault="00D32A79" w:rsidP="00C94EAF">
      <w:pPr>
        <w:pStyle w:val="Heading2"/>
        <w:rPr>
          <w:color w:val="auto"/>
          <w:lang w:eastAsia="en-GB"/>
        </w:rPr>
      </w:pPr>
      <w:bookmarkStart w:id="21" w:name="_Toc210575274"/>
      <w:bookmarkStart w:id="22" w:name="_Toc310232473"/>
      <w:bookmarkStart w:id="23" w:name="_Toc199838635"/>
      <w:r w:rsidRPr="000F487F">
        <w:rPr>
          <w:color w:val="auto"/>
          <w:lang w:eastAsia="en-GB"/>
        </w:rPr>
        <w:t>Supervisory Activities</w:t>
      </w:r>
      <w:bookmarkEnd w:id="21"/>
      <w:bookmarkEnd w:id="22"/>
      <w:bookmarkEnd w:id="23"/>
    </w:p>
    <w:p w14:paraId="423EC609" w14:textId="77777777" w:rsidR="0017223A" w:rsidRDefault="0017223A" w:rsidP="0017223A">
      <w:pPr>
        <w:jc w:val="left"/>
        <w:rPr>
          <w:lang w:eastAsia="en-GB"/>
        </w:rPr>
      </w:pPr>
      <w:r>
        <w:rPr>
          <w:lang w:eastAsia="en-GB"/>
        </w:rPr>
        <w:t xml:space="preserve">Supervisory activities can take </w:t>
      </w:r>
      <w:proofErr w:type="gramStart"/>
      <w:r>
        <w:rPr>
          <w:lang w:eastAsia="en-GB"/>
        </w:rPr>
        <w:t>many</w:t>
      </w:r>
      <w:proofErr w:type="gramEnd"/>
      <w:r>
        <w:rPr>
          <w:lang w:eastAsia="en-GB"/>
        </w:rPr>
        <w:t xml:space="preserve"> different forms</w:t>
      </w:r>
      <w:proofErr w:type="gramStart"/>
      <w:r>
        <w:rPr>
          <w:lang w:eastAsia="en-GB"/>
        </w:rPr>
        <w:t xml:space="preserve">.  </w:t>
      </w:r>
      <w:proofErr w:type="gramEnd"/>
      <w:r>
        <w:rPr>
          <w:lang w:eastAsia="en-GB"/>
        </w:rPr>
        <w:t xml:space="preserve">What is important is </w:t>
      </w:r>
      <w:proofErr w:type="gramStart"/>
      <w:r>
        <w:rPr>
          <w:lang w:eastAsia="en-GB"/>
        </w:rPr>
        <w:t>that,</w:t>
      </w:r>
      <w:proofErr w:type="gramEnd"/>
      <w:r>
        <w:rPr>
          <w:lang w:eastAsia="en-GB"/>
        </w:rPr>
        <w:t xml:space="preserve"> whichever methods </w:t>
      </w:r>
      <w:proofErr w:type="gramStart"/>
      <w:r>
        <w:rPr>
          <w:lang w:eastAsia="en-GB"/>
        </w:rPr>
        <w:t>are used</w:t>
      </w:r>
      <w:proofErr w:type="gramEnd"/>
      <w:r>
        <w:rPr>
          <w:lang w:eastAsia="en-GB"/>
        </w:rPr>
        <w:t xml:space="preserve">, the outcomes lead to more highly skilled and competent advisers, which in turn should lead to ensuring good outcomes for </w:t>
      </w:r>
      <w:proofErr w:type="gramStart"/>
      <w:r>
        <w:rPr>
          <w:lang w:eastAsia="en-GB"/>
        </w:rPr>
        <w:t>all of</w:t>
      </w:r>
      <w:proofErr w:type="gramEnd"/>
      <w:r>
        <w:rPr>
          <w:lang w:eastAsia="en-GB"/>
        </w:rPr>
        <w:t xml:space="preserve"> our clients</w:t>
      </w:r>
      <w:proofErr w:type="gramStart"/>
      <w:r>
        <w:rPr>
          <w:lang w:eastAsia="en-GB"/>
        </w:rPr>
        <w:t>.  Some</w:t>
      </w:r>
      <w:proofErr w:type="gramEnd"/>
      <w:r>
        <w:rPr>
          <w:lang w:eastAsia="en-GB"/>
        </w:rPr>
        <w:t xml:space="preserve"> example activities could be:</w:t>
      </w:r>
    </w:p>
    <w:p w14:paraId="7FE1AED3" w14:textId="77777777" w:rsidR="00C94EAF" w:rsidRPr="000F487F" w:rsidRDefault="00C94EAF" w:rsidP="00C94EAF">
      <w:pPr>
        <w:rPr>
          <w:rFonts w:eastAsia="Times New Roman" w:cs="Open Sans"/>
          <w:b/>
          <w:bCs/>
          <w:szCs w:val="20"/>
          <w:lang w:eastAsia="en-GB"/>
        </w:rPr>
      </w:pPr>
      <w:r w:rsidRPr="000F487F">
        <w:rPr>
          <w:rFonts w:eastAsia="Times New Roman" w:cs="Open Sans"/>
          <w:b/>
          <w:bCs/>
          <w:szCs w:val="20"/>
          <w:lang w:eastAsia="en-GB"/>
        </w:rPr>
        <w:t>Thematic File Review Sessions</w:t>
      </w:r>
    </w:p>
    <w:p w14:paraId="54B135A4" w14:textId="77777777" w:rsidR="00C94EAF" w:rsidRDefault="00C94EAF" w:rsidP="006839B9">
      <w:pPr>
        <w:pStyle w:val="ListParagraph"/>
        <w:numPr>
          <w:ilvl w:val="0"/>
          <w:numId w:val="33"/>
        </w:numPr>
        <w:rPr>
          <w:rFonts w:eastAsia="Times New Roman" w:cs="Times New Roman"/>
          <w:szCs w:val="24"/>
          <w:lang w:eastAsia="en-GB"/>
        </w:rPr>
      </w:pPr>
      <w:r w:rsidRPr="00C94EAF">
        <w:rPr>
          <w:rFonts w:eastAsia="Times New Roman" w:cs="Times New Roman"/>
          <w:szCs w:val="24"/>
          <w:lang w:eastAsia="en-GB"/>
        </w:rPr>
        <w:t>Conduct focused reviews of files based on themes such as Consumer Duty, vulnerable client treatment, or drawdown recommendations.</w:t>
      </w:r>
    </w:p>
    <w:p w14:paraId="70A15156" w14:textId="20040143" w:rsidR="00C94EAF" w:rsidRPr="00C94EAF" w:rsidRDefault="00C94EAF" w:rsidP="006839B9">
      <w:pPr>
        <w:pStyle w:val="ListParagraph"/>
        <w:numPr>
          <w:ilvl w:val="0"/>
          <w:numId w:val="33"/>
        </w:numPr>
        <w:rPr>
          <w:rFonts w:eastAsia="Times New Roman" w:cs="Times New Roman"/>
          <w:szCs w:val="24"/>
          <w:lang w:eastAsia="en-GB"/>
        </w:rPr>
      </w:pPr>
      <w:r w:rsidRPr="00C94EAF">
        <w:rPr>
          <w:rFonts w:eastAsia="Times New Roman" w:cs="Times New Roman"/>
          <w:szCs w:val="24"/>
          <w:lang w:eastAsia="en-GB"/>
        </w:rPr>
        <w:t>Run group calibration sessions where supervisors and peers assess the same file and compare interpretations, promoting consistency and shared learning.</w:t>
      </w:r>
    </w:p>
    <w:p w14:paraId="47946808" w14:textId="77777777" w:rsidR="00C94EAF" w:rsidRPr="000F487F" w:rsidRDefault="00C94EAF" w:rsidP="00C94EAF">
      <w:pPr>
        <w:rPr>
          <w:rFonts w:eastAsia="Times New Roman" w:cs="Open Sans"/>
          <w:b/>
          <w:bCs/>
          <w:szCs w:val="20"/>
          <w:lang w:eastAsia="en-GB"/>
        </w:rPr>
      </w:pPr>
      <w:r w:rsidRPr="000F487F">
        <w:rPr>
          <w:rFonts w:eastAsia="Times New Roman" w:cs="Open Sans"/>
          <w:b/>
          <w:bCs/>
          <w:szCs w:val="20"/>
          <w:lang w:eastAsia="en-GB"/>
        </w:rPr>
        <w:lastRenderedPageBreak/>
        <w:t>Scenario-Based Skills Assessments</w:t>
      </w:r>
    </w:p>
    <w:p w14:paraId="5C60D1C9" w14:textId="77777777" w:rsidR="00C94EAF" w:rsidRDefault="00C94EAF" w:rsidP="006839B9">
      <w:pPr>
        <w:pStyle w:val="ListParagraph"/>
        <w:numPr>
          <w:ilvl w:val="0"/>
          <w:numId w:val="34"/>
        </w:numPr>
        <w:rPr>
          <w:rFonts w:eastAsia="Times New Roman" w:cs="Times New Roman"/>
          <w:lang w:eastAsia="en-GB"/>
        </w:rPr>
      </w:pPr>
      <w:r w:rsidRPr="00C94EAF">
        <w:rPr>
          <w:rFonts w:eastAsia="Times New Roman" w:cs="Times New Roman"/>
          <w:lang w:eastAsia="en-GB"/>
        </w:rPr>
        <w:t>Present advisers with hypothetical but realistic advice scenarios requiring written or verbal responses.</w:t>
      </w:r>
    </w:p>
    <w:p w14:paraId="5F488CDA" w14:textId="571504AA" w:rsidR="00C94EAF" w:rsidRPr="00C94EAF" w:rsidRDefault="00C94EAF" w:rsidP="006839B9">
      <w:pPr>
        <w:pStyle w:val="ListParagraph"/>
        <w:numPr>
          <w:ilvl w:val="0"/>
          <w:numId w:val="34"/>
        </w:numPr>
        <w:rPr>
          <w:rFonts w:eastAsia="Times New Roman" w:cs="Times New Roman"/>
          <w:lang w:eastAsia="en-GB"/>
        </w:rPr>
      </w:pPr>
      <w:r w:rsidRPr="00C94EAF">
        <w:rPr>
          <w:rFonts w:eastAsia="Times New Roman" w:cs="Times New Roman"/>
          <w:lang w:eastAsia="en-GB"/>
        </w:rPr>
        <w:t>Assess decision-making, justification of recommendations, and ethical considerations.</w:t>
      </w:r>
    </w:p>
    <w:p w14:paraId="3C15F8AA" w14:textId="7B67451D" w:rsidR="00D32A79" w:rsidRPr="000F487F" w:rsidRDefault="0017223A" w:rsidP="00D32A79">
      <w:pPr>
        <w:rPr>
          <w:rFonts w:eastAsia="Times New Roman" w:cs="Open Sans"/>
          <w:b/>
          <w:szCs w:val="20"/>
          <w:lang w:eastAsia="en-GB"/>
        </w:rPr>
      </w:pPr>
      <w:r w:rsidRPr="000F487F">
        <w:rPr>
          <w:rFonts w:eastAsia="Times New Roman" w:cs="Open Sans"/>
          <w:b/>
          <w:szCs w:val="20"/>
          <w:lang w:eastAsia="en-GB"/>
        </w:rPr>
        <w:t xml:space="preserve">Live </w:t>
      </w:r>
      <w:r w:rsidR="00D32A79" w:rsidRPr="000F487F">
        <w:rPr>
          <w:rFonts w:eastAsia="Times New Roman" w:cs="Open Sans"/>
          <w:b/>
          <w:szCs w:val="20"/>
          <w:lang w:eastAsia="en-GB"/>
        </w:rPr>
        <w:t xml:space="preserve">Skills </w:t>
      </w:r>
      <w:r w:rsidRPr="000F487F">
        <w:rPr>
          <w:rFonts w:eastAsia="Times New Roman" w:cs="Open Sans"/>
          <w:b/>
          <w:szCs w:val="20"/>
          <w:lang w:eastAsia="en-GB"/>
        </w:rPr>
        <w:t xml:space="preserve">Based </w:t>
      </w:r>
      <w:r w:rsidR="00D32A79" w:rsidRPr="000F487F">
        <w:rPr>
          <w:rFonts w:eastAsia="Times New Roman" w:cs="Open Sans"/>
          <w:b/>
          <w:szCs w:val="20"/>
          <w:lang w:eastAsia="en-GB"/>
        </w:rPr>
        <w:t>Assessments</w:t>
      </w:r>
    </w:p>
    <w:p w14:paraId="1982B2A9" w14:textId="7D4013EB" w:rsidR="00D32A79" w:rsidRPr="0017223A" w:rsidRDefault="00D32A79" w:rsidP="00D32A79">
      <w:pPr>
        <w:rPr>
          <w:rFonts w:eastAsia="Times New Roman" w:cs="Times New Roman"/>
          <w:szCs w:val="24"/>
          <w:lang w:eastAsia="en-GB"/>
        </w:rPr>
      </w:pPr>
      <w:r w:rsidRPr="00361F5E">
        <w:rPr>
          <w:rFonts w:eastAsia="Times New Roman" w:cs="Times New Roman"/>
          <w:szCs w:val="24"/>
          <w:lang w:eastAsia="en-GB"/>
        </w:rPr>
        <w:t xml:space="preserve">The purpose of skills assessments is to objectively assess the </w:t>
      </w:r>
      <w:r w:rsidR="00C94EAF">
        <w:rPr>
          <w:rFonts w:eastAsia="Times New Roman" w:cs="Times New Roman"/>
          <w:szCs w:val="24"/>
          <w:lang w:eastAsia="en-GB"/>
        </w:rPr>
        <w:t>a</w:t>
      </w:r>
      <w:r w:rsidRPr="00361F5E">
        <w:rPr>
          <w:rFonts w:eastAsia="Times New Roman" w:cs="Times New Roman"/>
          <w:szCs w:val="24"/>
          <w:lang w:eastAsia="en-GB"/>
        </w:rPr>
        <w:t xml:space="preserve">dviser’s skills in providing advice to clients and their application of knowledge and provide feedback on their performance. These </w:t>
      </w:r>
      <w:proofErr w:type="gramStart"/>
      <w:r w:rsidRPr="00361F5E">
        <w:rPr>
          <w:rFonts w:eastAsia="Times New Roman" w:cs="Times New Roman"/>
          <w:szCs w:val="24"/>
          <w:lang w:eastAsia="en-GB"/>
        </w:rPr>
        <w:t xml:space="preserve">are </w:t>
      </w:r>
      <w:r w:rsidR="00C94EAF">
        <w:rPr>
          <w:rFonts w:eastAsia="Times New Roman" w:cs="Times New Roman"/>
          <w:szCs w:val="24"/>
          <w:lang w:eastAsia="en-GB"/>
        </w:rPr>
        <w:t>usually conducted</w:t>
      </w:r>
      <w:proofErr w:type="gramEnd"/>
      <w:r w:rsidR="00C94EAF">
        <w:rPr>
          <w:rFonts w:eastAsia="Times New Roman" w:cs="Times New Roman"/>
          <w:szCs w:val="24"/>
          <w:lang w:eastAsia="en-GB"/>
        </w:rPr>
        <w:t xml:space="preserve"> by </w:t>
      </w:r>
      <w:r w:rsidR="00C94EAF" w:rsidRPr="00C94EAF">
        <w:rPr>
          <w:rFonts w:eastAsia="Times New Roman" w:cs="Times New Roman"/>
          <w:color w:val="FF0000"/>
          <w:szCs w:val="24"/>
          <w:lang w:eastAsia="en-GB"/>
        </w:rPr>
        <w:t>[Name]</w:t>
      </w:r>
      <w:r w:rsidR="00C94EAF">
        <w:rPr>
          <w:rFonts w:eastAsia="Times New Roman" w:cs="Times New Roman"/>
          <w:szCs w:val="24"/>
          <w:lang w:eastAsia="en-GB"/>
        </w:rPr>
        <w:t>.</w:t>
      </w:r>
    </w:p>
    <w:p w14:paraId="17623EA9" w14:textId="77777777" w:rsidR="00C94EAF" w:rsidRPr="000F487F" w:rsidRDefault="00C94EAF" w:rsidP="00C94EAF">
      <w:pPr>
        <w:rPr>
          <w:b/>
          <w:bCs/>
          <w:lang w:eastAsia="en-GB"/>
        </w:rPr>
      </w:pPr>
      <w:r w:rsidRPr="000F487F">
        <w:rPr>
          <w:b/>
          <w:bCs/>
          <w:lang w:eastAsia="en-GB"/>
        </w:rPr>
        <w:t>KPI and Trend Analysis Dashboards</w:t>
      </w:r>
    </w:p>
    <w:p w14:paraId="3785DDF4" w14:textId="77777777" w:rsidR="00C94EAF" w:rsidRDefault="00C94EAF" w:rsidP="006839B9">
      <w:pPr>
        <w:pStyle w:val="ListParagraph"/>
        <w:numPr>
          <w:ilvl w:val="0"/>
          <w:numId w:val="35"/>
        </w:numPr>
        <w:rPr>
          <w:rFonts w:eastAsia="Times New Roman" w:cs="Times New Roman"/>
          <w:szCs w:val="24"/>
          <w:lang w:eastAsia="en-GB"/>
        </w:rPr>
      </w:pPr>
      <w:r w:rsidRPr="00C94EAF">
        <w:rPr>
          <w:rFonts w:eastAsia="Times New Roman" w:cs="Times New Roman"/>
          <w:szCs w:val="24"/>
          <w:lang w:eastAsia="en-GB"/>
        </w:rPr>
        <w:t>Develop real-time dashboards tracking KPIs like NTUs, complaints, persistency, client follow-ups, and advice turnaround times.</w:t>
      </w:r>
    </w:p>
    <w:p w14:paraId="4620D246" w14:textId="332F4564" w:rsidR="00C94EAF" w:rsidRDefault="00C94EAF" w:rsidP="006839B9">
      <w:pPr>
        <w:pStyle w:val="ListParagraph"/>
        <w:numPr>
          <w:ilvl w:val="0"/>
          <w:numId w:val="35"/>
        </w:numPr>
        <w:rPr>
          <w:rFonts w:eastAsia="Times New Roman" w:cs="Times New Roman"/>
          <w:szCs w:val="24"/>
          <w:lang w:eastAsia="en-GB"/>
        </w:rPr>
      </w:pPr>
      <w:r w:rsidRPr="00C94EAF">
        <w:rPr>
          <w:rFonts w:eastAsia="Times New Roman" w:cs="Times New Roman"/>
          <w:szCs w:val="24"/>
          <w:lang w:eastAsia="en-GB"/>
        </w:rPr>
        <w:t>Use this data to proactively spot patterns that suggest emerging training needs.</w:t>
      </w:r>
    </w:p>
    <w:p w14:paraId="21EC22A5" w14:textId="77777777" w:rsidR="0017223A" w:rsidRPr="000F487F" w:rsidRDefault="0017223A" w:rsidP="0017223A">
      <w:pPr>
        <w:rPr>
          <w:b/>
          <w:bCs/>
          <w:lang w:eastAsia="en-GB"/>
        </w:rPr>
      </w:pPr>
      <w:r w:rsidRPr="000F487F">
        <w:rPr>
          <w:b/>
          <w:bCs/>
          <w:lang w:eastAsia="en-GB"/>
        </w:rPr>
        <w:t>360° Supervision Check-Ins</w:t>
      </w:r>
    </w:p>
    <w:p w14:paraId="7AF9E7C8" w14:textId="77777777" w:rsidR="0017223A" w:rsidRPr="0017223A" w:rsidRDefault="0017223A" w:rsidP="006839B9">
      <w:pPr>
        <w:pStyle w:val="ListParagraph"/>
        <w:numPr>
          <w:ilvl w:val="0"/>
          <w:numId w:val="36"/>
        </w:numPr>
        <w:rPr>
          <w:rFonts w:eastAsia="Times New Roman" w:cs="Times New Roman"/>
          <w:szCs w:val="24"/>
          <w:lang w:eastAsia="en-GB"/>
        </w:rPr>
      </w:pPr>
      <w:r w:rsidRPr="0017223A">
        <w:rPr>
          <w:rFonts w:eastAsia="Times New Roman" w:cs="Times New Roman"/>
          <w:szCs w:val="24"/>
          <w:lang w:eastAsia="en-GB"/>
        </w:rPr>
        <w:t>Obtain feedback on adviser behaviours from colleagues in paraplanning, administration, or compliance.</w:t>
      </w:r>
    </w:p>
    <w:p w14:paraId="603DEDAC" w14:textId="77777777" w:rsidR="0017223A" w:rsidRPr="0017223A" w:rsidRDefault="0017223A" w:rsidP="006839B9">
      <w:pPr>
        <w:pStyle w:val="ListParagraph"/>
        <w:numPr>
          <w:ilvl w:val="0"/>
          <w:numId w:val="36"/>
        </w:numPr>
        <w:rPr>
          <w:rFonts w:eastAsia="Times New Roman" w:cs="Times New Roman"/>
          <w:szCs w:val="24"/>
          <w:lang w:eastAsia="en-GB"/>
        </w:rPr>
      </w:pPr>
      <w:r w:rsidRPr="0017223A">
        <w:rPr>
          <w:rFonts w:eastAsia="Times New Roman" w:cs="Times New Roman"/>
          <w:szCs w:val="24"/>
          <w:lang w:eastAsia="en-GB"/>
        </w:rPr>
        <w:t>Use this to assess collaboration, professionalism, and client-first culture.</w:t>
      </w:r>
    </w:p>
    <w:p w14:paraId="12A5E240" w14:textId="77777777" w:rsidR="00D32A79" w:rsidRPr="000B0344" w:rsidRDefault="00D32A79" w:rsidP="00D32A79"/>
    <w:p w14:paraId="65CC5DEA" w14:textId="2AEC6FA2" w:rsidR="005E5C53" w:rsidRDefault="005E5C53" w:rsidP="005E5C53">
      <w:pPr>
        <w:pStyle w:val="Heading2"/>
      </w:pPr>
      <w:bookmarkStart w:id="24" w:name="_Toc199838636"/>
      <w:r w:rsidRPr="000F487F">
        <w:rPr>
          <w:color w:val="auto"/>
        </w:rPr>
        <w:t>Client File Review Requirements</w:t>
      </w:r>
      <w:bookmarkEnd w:id="24"/>
    </w:p>
    <w:p w14:paraId="7ACC4DBC" w14:textId="4DF57D83" w:rsidR="005E5C53" w:rsidRPr="005E5C53" w:rsidRDefault="005E5C53" w:rsidP="005E5C53">
      <w:r w:rsidRPr="005E5C53">
        <w:t xml:space="preserve">Robust file checking is a critical part of </w:t>
      </w:r>
      <w:r>
        <w:t>our</w:t>
      </w:r>
      <w:r w:rsidRPr="005E5C53">
        <w:t xml:space="preserve"> firm’s supervisory and risk management framework. It allows us to assess the suitability of advice, the quality of documentation, and the adviser’s adherence to regulatory and internal standards. File reviews also provide key insights for adviser development, client outcome monitoring, and the early identification of risks.</w:t>
      </w:r>
    </w:p>
    <w:p w14:paraId="0ACF261A" w14:textId="5DDCD990" w:rsidR="005E5C53" w:rsidRDefault="005E5C53" w:rsidP="005E5C53"/>
    <w:p w14:paraId="3B192318" w14:textId="77777777" w:rsidR="005E5C53" w:rsidRDefault="005E5C53" w:rsidP="005E5C53"/>
    <w:p w14:paraId="753911FF" w14:textId="77777777" w:rsidR="005E5C53" w:rsidRPr="005E5C53" w:rsidRDefault="005E5C53" w:rsidP="005E5C53"/>
    <w:p w14:paraId="47F57036" w14:textId="77777777" w:rsidR="005E5C53" w:rsidRPr="005E5C53" w:rsidRDefault="005E5C53" w:rsidP="005E5C53">
      <w:pPr>
        <w:rPr>
          <w:b/>
          <w:bCs/>
        </w:rPr>
      </w:pPr>
      <w:r w:rsidRPr="005E5C53">
        <w:rPr>
          <w:b/>
          <w:bCs/>
        </w:rPr>
        <w:t>Standard File Review Frequency</w:t>
      </w:r>
    </w:p>
    <w:p w14:paraId="2DDEAD5F" w14:textId="77777777" w:rsidR="005E5C53" w:rsidRDefault="005E5C53" w:rsidP="005E5C53">
      <w:r w:rsidRPr="005E5C53">
        <w:t xml:space="preserve">The number of file reviews </w:t>
      </w:r>
      <w:proofErr w:type="gramStart"/>
      <w:r w:rsidRPr="005E5C53">
        <w:t>carried out</w:t>
      </w:r>
      <w:proofErr w:type="gramEnd"/>
      <w:r w:rsidRPr="005E5C53">
        <w:t xml:space="preserve"> for each adviser is based on their competence status, risk profile, and historical performance. The following serves as the baseline:</w:t>
      </w:r>
    </w:p>
    <w:p w14:paraId="6E63E0AA" w14:textId="77777777" w:rsidR="005E5C53" w:rsidRPr="005E5C53" w:rsidRDefault="005E5C53" w:rsidP="005E5C53"/>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2"/>
        <w:gridCol w:w="5854"/>
      </w:tblGrid>
      <w:tr w:rsidR="005E5C53" w:rsidRPr="005E5C53" w14:paraId="457E9B20" w14:textId="77777777" w:rsidTr="000F487F">
        <w:trPr>
          <w:tblHeader/>
          <w:tblCellSpacing w:w="15" w:type="dxa"/>
        </w:trPr>
        <w:tc>
          <w:tcPr>
            <w:tcW w:w="0" w:type="auto"/>
            <w:shd w:val="clear" w:color="auto" w:fill="000000" w:themeFill="text1"/>
            <w:vAlign w:val="center"/>
            <w:hideMark/>
          </w:tcPr>
          <w:p w14:paraId="52ADE29D" w14:textId="77777777" w:rsidR="005E5C53" w:rsidRPr="005E5C53" w:rsidRDefault="005E5C53" w:rsidP="005E5C53">
            <w:pPr>
              <w:rPr>
                <w:b/>
                <w:bCs/>
              </w:rPr>
            </w:pPr>
            <w:r w:rsidRPr="005E5C53">
              <w:rPr>
                <w:b/>
                <w:bCs/>
              </w:rPr>
              <w:t>Adviser Status</w:t>
            </w:r>
          </w:p>
        </w:tc>
        <w:tc>
          <w:tcPr>
            <w:tcW w:w="0" w:type="auto"/>
            <w:shd w:val="clear" w:color="auto" w:fill="000000" w:themeFill="text1"/>
            <w:vAlign w:val="center"/>
            <w:hideMark/>
          </w:tcPr>
          <w:p w14:paraId="73DB775A" w14:textId="77777777" w:rsidR="005E5C53" w:rsidRPr="005E5C53" w:rsidRDefault="005E5C53" w:rsidP="005E5C53">
            <w:pPr>
              <w:rPr>
                <w:b/>
                <w:bCs/>
              </w:rPr>
            </w:pPr>
            <w:r w:rsidRPr="005E5C53">
              <w:rPr>
                <w:b/>
                <w:bCs/>
              </w:rPr>
              <w:t>File Review Frequency</w:t>
            </w:r>
          </w:p>
        </w:tc>
      </w:tr>
      <w:tr w:rsidR="005E5C53" w:rsidRPr="005E5C53" w14:paraId="07B29F20" w14:textId="77777777" w:rsidTr="005E5C53">
        <w:trPr>
          <w:tblCellSpacing w:w="15" w:type="dxa"/>
        </w:trPr>
        <w:tc>
          <w:tcPr>
            <w:tcW w:w="0" w:type="auto"/>
            <w:vAlign w:val="center"/>
            <w:hideMark/>
          </w:tcPr>
          <w:p w14:paraId="2511F5F7" w14:textId="77777777" w:rsidR="005E5C53" w:rsidRPr="005E5C53" w:rsidRDefault="005E5C53" w:rsidP="005E5C53">
            <w:pPr>
              <w:jc w:val="left"/>
            </w:pPr>
            <w:r w:rsidRPr="005E5C53">
              <w:t>New / Attaining Competence</w:t>
            </w:r>
          </w:p>
        </w:tc>
        <w:tc>
          <w:tcPr>
            <w:tcW w:w="0" w:type="auto"/>
            <w:vAlign w:val="center"/>
            <w:hideMark/>
          </w:tcPr>
          <w:p w14:paraId="3D15C851" w14:textId="77777777" w:rsidR="005E5C53" w:rsidRPr="005E5C53" w:rsidRDefault="005E5C53" w:rsidP="005E5C53">
            <w:r w:rsidRPr="005E5C53">
              <w:rPr>
                <w:b/>
                <w:bCs/>
              </w:rPr>
              <w:t>100% post-sale</w:t>
            </w:r>
            <w:r w:rsidRPr="005E5C53">
              <w:t xml:space="preserve"> for first </w:t>
            </w:r>
            <w:proofErr w:type="gramStart"/>
            <w:r w:rsidRPr="005E5C53">
              <w:t>10</w:t>
            </w:r>
            <w:proofErr w:type="gramEnd"/>
            <w:r w:rsidRPr="005E5C53">
              <w:t xml:space="preserve"> cases or 6 months (whichever is longer)</w:t>
            </w:r>
          </w:p>
        </w:tc>
      </w:tr>
      <w:tr w:rsidR="005E5C53" w:rsidRPr="005E5C53" w14:paraId="6661E54D" w14:textId="77777777" w:rsidTr="005E5C53">
        <w:trPr>
          <w:tblCellSpacing w:w="15" w:type="dxa"/>
        </w:trPr>
        <w:tc>
          <w:tcPr>
            <w:tcW w:w="0" w:type="auto"/>
            <w:vAlign w:val="center"/>
            <w:hideMark/>
          </w:tcPr>
          <w:p w14:paraId="6A8F3DFA" w14:textId="77777777" w:rsidR="005E5C53" w:rsidRPr="005E5C53" w:rsidRDefault="005E5C53" w:rsidP="005E5C53">
            <w:pPr>
              <w:jc w:val="left"/>
            </w:pPr>
            <w:r w:rsidRPr="005E5C53">
              <w:lastRenderedPageBreak/>
              <w:t>Recently Signed Off as Competent</w:t>
            </w:r>
          </w:p>
        </w:tc>
        <w:tc>
          <w:tcPr>
            <w:tcW w:w="0" w:type="auto"/>
            <w:vAlign w:val="center"/>
            <w:hideMark/>
          </w:tcPr>
          <w:p w14:paraId="1449983C" w14:textId="77777777" w:rsidR="005E5C53" w:rsidRPr="005E5C53" w:rsidRDefault="005E5C53" w:rsidP="005E5C53">
            <w:r w:rsidRPr="005E5C53">
              <w:rPr>
                <w:b/>
                <w:bCs/>
              </w:rPr>
              <w:t>Minimum 25%</w:t>
            </w:r>
            <w:r w:rsidRPr="005E5C53">
              <w:t xml:space="preserve"> of all advice cases for the next 6 months</w:t>
            </w:r>
          </w:p>
        </w:tc>
      </w:tr>
      <w:tr w:rsidR="005E5C53" w:rsidRPr="005E5C53" w14:paraId="323ADF39" w14:textId="77777777" w:rsidTr="005E5C53">
        <w:trPr>
          <w:tblCellSpacing w:w="15" w:type="dxa"/>
        </w:trPr>
        <w:tc>
          <w:tcPr>
            <w:tcW w:w="0" w:type="auto"/>
            <w:vAlign w:val="center"/>
            <w:hideMark/>
          </w:tcPr>
          <w:p w14:paraId="54A69AF4" w14:textId="77777777" w:rsidR="005E5C53" w:rsidRPr="005E5C53" w:rsidRDefault="005E5C53" w:rsidP="005E5C53">
            <w:pPr>
              <w:jc w:val="left"/>
            </w:pPr>
            <w:r w:rsidRPr="005E5C53">
              <w:t>Established &amp; Competent Adviser</w:t>
            </w:r>
          </w:p>
        </w:tc>
        <w:tc>
          <w:tcPr>
            <w:tcW w:w="0" w:type="auto"/>
            <w:vAlign w:val="center"/>
            <w:hideMark/>
          </w:tcPr>
          <w:p w14:paraId="169376A2" w14:textId="77777777" w:rsidR="005E5C53" w:rsidRPr="005E5C53" w:rsidRDefault="005E5C53" w:rsidP="005E5C53">
            <w:r w:rsidRPr="005E5C53">
              <w:rPr>
                <w:b/>
                <w:bCs/>
              </w:rPr>
              <w:t>Minimum 10%</w:t>
            </w:r>
            <w:r w:rsidRPr="005E5C53">
              <w:t xml:space="preserve"> of new business advice cases (rolling basis)</w:t>
            </w:r>
          </w:p>
        </w:tc>
      </w:tr>
      <w:tr w:rsidR="005E5C53" w:rsidRPr="005E5C53" w14:paraId="36FDE7E5" w14:textId="77777777" w:rsidTr="005E5C53">
        <w:trPr>
          <w:tblCellSpacing w:w="15" w:type="dxa"/>
        </w:trPr>
        <w:tc>
          <w:tcPr>
            <w:tcW w:w="0" w:type="auto"/>
            <w:vAlign w:val="center"/>
            <w:hideMark/>
          </w:tcPr>
          <w:p w14:paraId="1792544B" w14:textId="77777777" w:rsidR="005E5C53" w:rsidRPr="005E5C53" w:rsidRDefault="005E5C53" w:rsidP="005E5C53">
            <w:pPr>
              <w:jc w:val="left"/>
            </w:pPr>
            <w:r w:rsidRPr="005E5C53">
              <w:t>High-Risk Advice Areas</w:t>
            </w:r>
          </w:p>
        </w:tc>
        <w:tc>
          <w:tcPr>
            <w:tcW w:w="0" w:type="auto"/>
            <w:vAlign w:val="center"/>
            <w:hideMark/>
          </w:tcPr>
          <w:p w14:paraId="63B878C4" w14:textId="77777777" w:rsidR="005E5C53" w:rsidRPr="005E5C53" w:rsidRDefault="005E5C53" w:rsidP="005E5C53">
            <w:r w:rsidRPr="005E5C53">
              <w:rPr>
                <w:b/>
                <w:bCs/>
              </w:rPr>
              <w:t>100% pre-sale</w:t>
            </w:r>
            <w:r w:rsidRPr="005E5C53">
              <w:t xml:space="preserve"> and </w:t>
            </w:r>
            <w:r w:rsidRPr="005E5C53">
              <w:rPr>
                <w:b/>
                <w:bCs/>
              </w:rPr>
              <w:t>post-sale</w:t>
            </w:r>
            <w:r w:rsidRPr="005E5C53">
              <w:t xml:space="preserve"> review required (see below)</w:t>
            </w:r>
          </w:p>
        </w:tc>
      </w:tr>
    </w:tbl>
    <w:p w14:paraId="5FD32BFC" w14:textId="3F15E77D" w:rsidR="005E5C53" w:rsidRDefault="005E5C53" w:rsidP="005E5C53">
      <w:r w:rsidRPr="005E5C53">
        <w:t>File reviews should include a mix of new business, review advice, and ongoing service cases, and must cover both simple and complex advice scenarios.</w:t>
      </w:r>
    </w:p>
    <w:p w14:paraId="382A75B5" w14:textId="77777777" w:rsidR="005E5C53" w:rsidRDefault="005E5C53" w:rsidP="005E5C53"/>
    <w:p w14:paraId="322E7FA3" w14:textId="77777777" w:rsidR="005E5C53" w:rsidRPr="005E5C53" w:rsidRDefault="005E5C53" w:rsidP="005E5C53">
      <w:pPr>
        <w:rPr>
          <w:b/>
          <w:bCs/>
        </w:rPr>
      </w:pPr>
      <w:r w:rsidRPr="005E5C53">
        <w:rPr>
          <w:b/>
          <w:bCs/>
        </w:rPr>
        <w:t>Implications of Unclear or Unsuitable Advice</w:t>
      </w:r>
    </w:p>
    <w:p w14:paraId="3CE363AF" w14:textId="77777777" w:rsidR="005E5C53" w:rsidRPr="005E5C53" w:rsidRDefault="005E5C53" w:rsidP="005E5C53">
      <w:r w:rsidRPr="005E5C53">
        <w:t>Where a file review identifies concerns such as:</w:t>
      </w:r>
    </w:p>
    <w:p w14:paraId="7A7417BF" w14:textId="77777777" w:rsidR="005E5C53" w:rsidRPr="005E5C53" w:rsidRDefault="005E5C53" w:rsidP="006839B9">
      <w:pPr>
        <w:numPr>
          <w:ilvl w:val="0"/>
          <w:numId w:val="37"/>
        </w:numPr>
      </w:pPr>
      <w:r w:rsidRPr="005E5C53">
        <w:t>Poor fact-finding or risk profiling</w:t>
      </w:r>
    </w:p>
    <w:p w14:paraId="52BFFF29" w14:textId="77777777" w:rsidR="005E5C53" w:rsidRPr="005E5C53" w:rsidRDefault="005E5C53" w:rsidP="006839B9">
      <w:pPr>
        <w:numPr>
          <w:ilvl w:val="0"/>
          <w:numId w:val="37"/>
        </w:numPr>
      </w:pPr>
      <w:r w:rsidRPr="005E5C53">
        <w:t>Recommendations lacking a clear rationale</w:t>
      </w:r>
    </w:p>
    <w:p w14:paraId="2AAC9CA4" w14:textId="77777777" w:rsidR="005E5C53" w:rsidRPr="005E5C53" w:rsidRDefault="005E5C53" w:rsidP="006839B9">
      <w:pPr>
        <w:numPr>
          <w:ilvl w:val="0"/>
          <w:numId w:val="37"/>
        </w:numPr>
      </w:pPr>
      <w:r w:rsidRPr="005E5C53">
        <w:t>Inadequate disclosure</w:t>
      </w:r>
    </w:p>
    <w:p w14:paraId="3B0203C3" w14:textId="77777777" w:rsidR="005E5C53" w:rsidRPr="005E5C53" w:rsidRDefault="005E5C53" w:rsidP="006839B9">
      <w:pPr>
        <w:numPr>
          <w:ilvl w:val="0"/>
          <w:numId w:val="37"/>
        </w:numPr>
      </w:pPr>
      <w:r w:rsidRPr="005E5C53">
        <w:t>Failure to evidence client understanding</w:t>
      </w:r>
    </w:p>
    <w:p w14:paraId="575734EB" w14:textId="77777777" w:rsidR="005E5C53" w:rsidRPr="005E5C53" w:rsidRDefault="005E5C53" w:rsidP="006839B9">
      <w:pPr>
        <w:numPr>
          <w:ilvl w:val="0"/>
          <w:numId w:val="37"/>
        </w:numPr>
      </w:pPr>
      <w:r w:rsidRPr="005E5C53">
        <w:t>Conflicts with Consumer Duty principles</w:t>
      </w:r>
    </w:p>
    <w:p w14:paraId="181A987C" w14:textId="77777777" w:rsidR="005E5C53" w:rsidRDefault="005E5C53" w:rsidP="005E5C53">
      <w:r w:rsidRPr="005E5C53">
        <w:t xml:space="preserve">The case will </w:t>
      </w:r>
      <w:proofErr w:type="gramStart"/>
      <w:r w:rsidRPr="005E5C53">
        <w:t>be referred</w:t>
      </w:r>
      <w:proofErr w:type="gramEnd"/>
      <w:r w:rsidRPr="005E5C53">
        <w:t xml:space="preserve"> for remediation. This may involve reworking the recommendation, issuing corrective disclosure, or re-engaging with the client. </w:t>
      </w:r>
    </w:p>
    <w:p w14:paraId="2EF9C561" w14:textId="77777777" w:rsidR="006839B9" w:rsidRDefault="006839B9" w:rsidP="005E5C53"/>
    <w:p w14:paraId="4795F67C" w14:textId="40B305FE" w:rsidR="005E5C53" w:rsidRPr="005E5C53" w:rsidRDefault="005E5C53" w:rsidP="005E5C53">
      <w:r w:rsidRPr="005E5C53">
        <w:t>Recurring themes or significant breaches may result in:</w:t>
      </w:r>
    </w:p>
    <w:p w14:paraId="5F1DC817" w14:textId="77777777" w:rsidR="005E5C53" w:rsidRPr="005E5C53" w:rsidRDefault="005E5C53" w:rsidP="006839B9">
      <w:pPr>
        <w:numPr>
          <w:ilvl w:val="0"/>
          <w:numId w:val="38"/>
        </w:numPr>
      </w:pPr>
      <w:r w:rsidRPr="005E5C53">
        <w:t>Enhanced supervision</w:t>
      </w:r>
    </w:p>
    <w:p w14:paraId="1491FA6B" w14:textId="77777777" w:rsidR="005E5C53" w:rsidRPr="005E5C53" w:rsidRDefault="005E5C53" w:rsidP="006839B9">
      <w:pPr>
        <w:numPr>
          <w:ilvl w:val="0"/>
          <w:numId w:val="38"/>
        </w:numPr>
      </w:pPr>
      <w:r w:rsidRPr="005E5C53">
        <w:t>Further training and development plans</w:t>
      </w:r>
    </w:p>
    <w:p w14:paraId="3F40891A" w14:textId="77777777" w:rsidR="005E5C53" w:rsidRPr="005E5C53" w:rsidRDefault="005E5C53" w:rsidP="006839B9">
      <w:pPr>
        <w:numPr>
          <w:ilvl w:val="0"/>
          <w:numId w:val="38"/>
        </w:numPr>
      </w:pPr>
      <w:r w:rsidRPr="005E5C53">
        <w:t>Formal disciplinary action</w:t>
      </w:r>
    </w:p>
    <w:p w14:paraId="1180FA29" w14:textId="4D9D6044" w:rsidR="006839B9" w:rsidRDefault="005E5C53" w:rsidP="006839B9">
      <w:pPr>
        <w:numPr>
          <w:ilvl w:val="0"/>
          <w:numId w:val="38"/>
        </w:numPr>
      </w:pPr>
      <w:r w:rsidRPr="005E5C53">
        <w:t>Regulatory notification where appropriate</w:t>
      </w:r>
    </w:p>
    <w:p w14:paraId="59BC7261" w14:textId="77777777" w:rsidR="00CB5ED0" w:rsidRDefault="00CB5ED0" w:rsidP="00CB5ED0"/>
    <w:p w14:paraId="2591EDC9" w14:textId="77777777" w:rsidR="00CB5ED0" w:rsidRPr="00CB5ED0" w:rsidRDefault="00CB5ED0" w:rsidP="00CB5ED0">
      <w:pPr>
        <w:rPr>
          <w:b/>
          <w:bCs/>
        </w:rPr>
      </w:pPr>
      <w:r w:rsidRPr="00CB5ED0">
        <w:rPr>
          <w:b/>
          <w:bCs/>
        </w:rPr>
        <w:t>File Review Outcomes and Remedial Action</w:t>
      </w:r>
    </w:p>
    <w:p w14:paraId="6A5C0A10" w14:textId="77777777" w:rsidR="00CB5ED0" w:rsidRDefault="00CB5ED0" w:rsidP="00CB5ED0">
      <w:r w:rsidRPr="00CB5ED0">
        <w:t xml:space="preserve">All client files subject to review will </w:t>
      </w:r>
      <w:proofErr w:type="gramStart"/>
      <w:r w:rsidRPr="00CB5ED0">
        <w:t>be assessed</w:t>
      </w:r>
      <w:proofErr w:type="gramEnd"/>
      <w:r w:rsidRPr="00CB5ED0">
        <w:t xml:space="preserve"> and given a formal grading, based on the quality of advice, supporting documentation, and adherence to compliance procedures. The outcome of the review will determine whether any remedial work is </w:t>
      </w:r>
      <w:proofErr w:type="gramStart"/>
      <w:r w:rsidRPr="00CB5ED0">
        <w:t>required</w:t>
      </w:r>
      <w:proofErr w:type="gramEnd"/>
      <w:r w:rsidRPr="00CB5ED0">
        <w:t xml:space="preserve"> and the level of risk posed by the advice provided.</w:t>
      </w:r>
    </w:p>
    <w:p w14:paraId="26767456" w14:textId="77777777" w:rsidR="00936C0B" w:rsidRDefault="00936C0B" w:rsidP="00CB5ED0"/>
    <w:p w14:paraId="20C8CCF0" w14:textId="77777777" w:rsidR="00936C0B" w:rsidRDefault="00936C0B" w:rsidP="00CB5ED0"/>
    <w:p w14:paraId="69ACA761" w14:textId="77777777" w:rsidR="00936C0B" w:rsidRDefault="00936C0B" w:rsidP="00CB5ED0"/>
    <w:p w14:paraId="0FF32B65" w14:textId="77777777" w:rsidR="00936C0B" w:rsidRDefault="00936C0B" w:rsidP="00CB5ED0"/>
    <w:p w14:paraId="383DDD2E" w14:textId="77777777" w:rsidR="00936C0B" w:rsidRPr="00CB5ED0" w:rsidRDefault="00936C0B" w:rsidP="00CB5ED0"/>
    <w:p w14:paraId="67FB040B" w14:textId="77777777" w:rsidR="00CB5ED0" w:rsidRPr="00CB5ED0" w:rsidRDefault="00CB5ED0" w:rsidP="00CB5ED0">
      <w:pPr>
        <w:rPr>
          <w:b/>
          <w:bCs/>
        </w:rPr>
      </w:pPr>
      <w:r w:rsidRPr="00CB5ED0">
        <w:rPr>
          <w:b/>
          <w:bCs/>
        </w:rPr>
        <w:lastRenderedPageBreak/>
        <w:t>File Review Grades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7"/>
        <w:gridCol w:w="3231"/>
        <w:gridCol w:w="5028"/>
      </w:tblGrid>
      <w:tr w:rsidR="00CB5ED0" w:rsidRPr="00CB5ED0" w14:paraId="07B2DF69" w14:textId="77777777" w:rsidTr="000F487F">
        <w:trPr>
          <w:tblHeader/>
          <w:tblCellSpacing w:w="15" w:type="dxa"/>
        </w:trPr>
        <w:tc>
          <w:tcPr>
            <w:tcW w:w="0" w:type="auto"/>
            <w:shd w:val="clear" w:color="auto" w:fill="000000" w:themeFill="text1"/>
            <w:vAlign w:val="center"/>
            <w:hideMark/>
          </w:tcPr>
          <w:p w14:paraId="23D6F9FB" w14:textId="77777777" w:rsidR="00CB5ED0" w:rsidRPr="00CB5ED0" w:rsidRDefault="00CB5ED0" w:rsidP="001004DA">
            <w:pPr>
              <w:jc w:val="center"/>
              <w:rPr>
                <w:b/>
                <w:bCs/>
              </w:rPr>
            </w:pPr>
            <w:r w:rsidRPr="00CB5ED0">
              <w:rPr>
                <w:b/>
                <w:bCs/>
              </w:rPr>
              <w:t>Grade</w:t>
            </w:r>
          </w:p>
        </w:tc>
        <w:tc>
          <w:tcPr>
            <w:tcW w:w="0" w:type="auto"/>
            <w:shd w:val="clear" w:color="auto" w:fill="000000" w:themeFill="text1"/>
            <w:vAlign w:val="center"/>
            <w:hideMark/>
          </w:tcPr>
          <w:p w14:paraId="0940DFD0" w14:textId="77777777" w:rsidR="00CB5ED0" w:rsidRPr="00CB5ED0" w:rsidRDefault="00CB5ED0" w:rsidP="001004DA">
            <w:pPr>
              <w:jc w:val="center"/>
              <w:rPr>
                <w:b/>
                <w:bCs/>
              </w:rPr>
            </w:pPr>
            <w:r w:rsidRPr="00CB5ED0">
              <w:rPr>
                <w:b/>
                <w:bCs/>
              </w:rPr>
              <w:t>Name</w:t>
            </w:r>
          </w:p>
        </w:tc>
        <w:tc>
          <w:tcPr>
            <w:tcW w:w="0" w:type="auto"/>
            <w:shd w:val="clear" w:color="auto" w:fill="000000" w:themeFill="text1"/>
            <w:vAlign w:val="center"/>
            <w:hideMark/>
          </w:tcPr>
          <w:p w14:paraId="18D6E8EF" w14:textId="77777777" w:rsidR="00CB5ED0" w:rsidRPr="00CB5ED0" w:rsidRDefault="00CB5ED0" w:rsidP="001004DA">
            <w:pPr>
              <w:jc w:val="center"/>
              <w:rPr>
                <w:b/>
                <w:bCs/>
              </w:rPr>
            </w:pPr>
            <w:r w:rsidRPr="00CB5ED0">
              <w:rPr>
                <w:b/>
                <w:bCs/>
              </w:rPr>
              <w:t>Description</w:t>
            </w:r>
          </w:p>
        </w:tc>
      </w:tr>
      <w:tr w:rsidR="00CB5ED0" w:rsidRPr="00CB5ED0" w14:paraId="5BD69BA7" w14:textId="77777777" w:rsidTr="00E82705">
        <w:trPr>
          <w:tblCellSpacing w:w="15" w:type="dxa"/>
        </w:trPr>
        <w:tc>
          <w:tcPr>
            <w:tcW w:w="0" w:type="auto"/>
            <w:vAlign w:val="center"/>
            <w:hideMark/>
          </w:tcPr>
          <w:p w14:paraId="743176AA" w14:textId="77777777" w:rsidR="00CB5ED0" w:rsidRPr="00CB5ED0" w:rsidRDefault="00CB5ED0" w:rsidP="00A109F9">
            <w:pPr>
              <w:jc w:val="center"/>
            </w:pPr>
            <w:r w:rsidRPr="00CB5ED0">
              <w:t>A</w:t>
            </w:r>
          </w:p>
        </w:tc>
        <w:tc>
          <w:tcPr>
            <w:tcW w:w="0" w:type="auto"/>
            <w:vAlign w:val="center"/>
            <w:hideMark/>
          </w:tcPr>
          <w:p w14:paraId="28A24874" w14:textId="77777777" w:rsidR="00CB5ED0" w:rsidRPr="00CB5ED0" w:rsidRDefault="00CB5ED0" w:rsidP="00A109F9">
            <w:pPr>
              <w:jc w:val="left"/>
            </w:pPr>
            <w:r w:rsidRPr="00CB5ED0">
              <w:t>Suitable</w:t>
            </w:r>
          </w:p>
        </w:tc>
        <w:tc>
          <w:tcPr>
            <w:tcW w:w="0" w:type="auto"/>
            <w:shd w:val="clear" w:color="auto" w:fill="4EA72E" w:themeFill="accent6"/>
            <w:vAlign w:val="center"/>
            <w:hideMark/>
          </w:tcPr>
          <w:p w14:paraId="74C244CE" w14:textId="77777777" w:rsidR="00CB5ED0" w:rsidRPr="00CB5ED0" w:rsidRDefault="00CB5ED0" w:rsidP="00A109F9">
            <w:pPr>
              <w:jc w:val="left"/>
            </w:pPr>
            <w:r w:rsidRPr="00CB5ED0">
              <w:t>Advice is suitable and fully compliant. No further action required.</w:t>
            </w:r>
          </w:p>
        </w:tc>
      </w:tr>
      <w:tr w:rsidR="00CB5ED0" w:rsidRPr="00CB5ED0" w14:paraId="46C4BFB4" w14:textId="77777777" w:rsidTr="00E82705">
        <w:trPr>
          <w:tblCellSpacing w:w="15" w:type="dxa"/>
        </w:trPr>
        <w:tc>
          <w:tcPr>
            <w:tcW w:w="0" w:type="auto"/>
            <w:vAlign w:val="center"/>
            <w:hideMark/>
          </w:tcPr>
          <w:p w14:paraId="531E4995" w14:textId="77777777" w:rsidR="00CB5ED0" w:rsidRPr="00CB5ED0" w:rsidRDefault="00CB5ED0" w:rsidP="00A109F9">
            <w:pPr>
              <w:jc w:val="center"/>
            </w:pPr>
            <w:r w:rsidRPr="00CB5ED0">
              <w:t>B</w:t>
            </w:r>
          </w:p>
        </w:tc>
        <w:tc>
          <w:tcPr>
            <w:tcW w:w="0" w:type="auto"/>
            <w:vAlign w:val="center"/>
            <w:hideMark/>
          </w:tcPr>
          <w:p w14:paraId="4BF9B2E5" w14:textId="77777777" w:rsidR="00CB5ED0" w:rsidRPr="00CB5ED0" w:rsidRDefault="00CB5ED0" w:rsidP="00A109F9">
            <w:pPr>
              <w:jc w:val="left"/>
            </w:pPr>
            <w:r w:rsidRPr="00CB5ED0">
              <w:t>Suitable with Compliance/Process Issues</w:t>
            </w:r>
          </w:p>
        </w:tc>
        <w:tc>
          <w:tcPr>
            <w:tcW w:w="0" w:type="auto"/>
            <w:shd w:val="clear" w:color="auto" w:fill="B3E5A1" w:themeFill="accent6" w:themeFillTint="66"/>
            <w:vAlign w:val="center"/>
            <w:hideMark/>
          </w:tcPr>
          <w:p w14:paraId="4550C5E5" w14:textId="77777777" w:rsidR="00CB5ED0" w:rsidRPr="00CB5ED0" w:rsidRDefault="00CB5ED0" w:rsidP="00A109F9">
            <w:pPr>
              <w:jc w:val="left"/>
            </w:pPr>
            <w:r w:rsidRPr="00CB5ED0">
              <w:t xml:space="preserve">Advice is suitable, but minor compliance or process improvements </w:t>
            </w:r>
            <w:proofErr w:type="gramStart"/>
            <w:r w:rsidRPr="00CB5ED0">
              <w:t>are needed</w:t>
            </w:r>
            <w:proofErr w:type="gramEnd"/>
            <w:r w:rsidRPr="00CB5ED0">
              <w:t>.</w:t>
            </w:r>
          </w:p>
        </w:tc>
      </w:tr>
      <w:tr w:rsidR="00CB5ED0" w:rsidRPr="00CB5ED0" w14:paraId="18624250" w14:textId="77777777" w:rsidTr="00E82705">
        <w:trPr>
          <w:tblCellSpacing w:w="15" w:type="dxa"/>
        </w:trPr>
        <w:tc>
          <w:tcPr>
            <w:tcW w:w="0" w:type="auto"/>
            <w:vAlign w:val="center"/>
            <w:hideMark/>
          </w:tcPr>
          <w:p w14:paraId="04FB2A3F" w14:textId="77777777" w:rsidR="00CB5ED0" w:rsidRPr="00CB5ED0" w:rsidRDefault="00CB5ED0" w:rsidP="00A109F9">
            <w:pPr>
              <w:jc w:val="center"/>
            </w:pPr>
            <w:r w:rsidRPr="00CB5ED0">
              <w:t>C</w:t>
            </w:r>
          </w:p>
        </w:tc>
        <w:tc>
          <w:tcPr>
            <w:tcW w:w="0" w:type="auto"/>
            <w:vAlign w:val="center"/>
            <w:hideMark/>
          </w:tcPr>
          <w:p w14:paraId="32905BCC" w14:textId="77777777" w:rsidR="00CB5ED0" w:rsidRPr="00CB5ED0" w:rsidRDefault="00CB5ED0" w:rsidP="00A109F9">
            <w:pPr>
              <w:jc w:val="left"/>
            </w:pPr>
            <w:r w:rsidRPr="00CB5ED0">
              <w:t>Unclear</w:t>
            </w:r>
          </w:p>
        </w:tc>
        <w:tc>
          <w:tcPr>
            <w:tcW w:w="0" w:type="auto"/>
            <w:shd w:val="clear" w:color="auto" w:fill="E97132" w:themeFill="accent2"/>
            <w:vAlign w:val="center"/>
            <w:hideMark/>
          </w:tcPr>
          <w:p w14:paraId="671E81B1" w14:textId="77777777" w:rsidR="00CB5ED0" w:rsidRPr="00CB5ED0" w:rsidRDefault="00CB5ED0" w:rsidP="00A109F9">
            <w:pPr>
              <w:jc w:val="left"/>
            </w:pPr>
            <w:r w:rsidRPr="00CB5ED0">
              <w:t xml:space="preserve">Further information </w:t>
            </w:r>
            <w:proofErr w:type="gramStart"/>
            <w:r w:rsidRPr="00CB5ED0">
              <w:t>is required</w:t>
            </w:r>
            <w:proofErr w:type="gramEnd"/>
            <w:r w:rsidRPr="00CB5ED0">
              <w:t xml:space="preserve"> before the file can </w:t>
            </w:r>
            <w:proofErr w:type="gramStart"/>
            <w:r w:rsidRPr="00CB5ED0">
              <w:t>be fully assessed</w:t>
            </w:r>
            <w:proofErr w:type="gramEnd"/>
            <w:r w:rsidRPr="00CB5ED0">
              <w:t>.</w:t>
            </w:r>
          </w:p>
        </w:tc>
      </w:tr>
      <w:tr w:rsidR="00CB5ED0" w:rsidRPr="00CB5ED0" w14:paraId="6EFBC18C" w14:textId="77777777" w:rsidTr="00E82705">
        <w:trPr>
          <w:tblCellSpacing w:w="15" w:type="dxa"/>
        </w:trPr>
        <w:tc>
          <w:tcPr>
            <w:tcW w:w="0" w:type="auto"/>
            <w:vAlign w:val="center"/>
            <w:hideMark/>
          </w:tcPr>
          <w:p w14:paraId="0C96B6D4" w14:textId="77777777" w:rsidR="00CB5ED0" w:rsidRPr="00CB5ED0" w:rsidRDefault="00CB5ED0" w:rsidP="00A109F9">
            <w:pPr>
              <w:jc w:val="center"/>
            </w:pPr>
            <w:r w:rsidRPr="00CB5ED0">
              <w:t>D</w:t>
            </w:r>
          </w:p>
        </w:tc>
        <w:tc>
          <w:tcPr>
            <w:tcW w:w="0" w:type="auto"/>
            <w:vAlign w:val="center"/>
            <w:hideMark/>
          </w:tcPr>
          <w:p w14:paraId="0CF0AC99" w14:textId="77777777" w:rsidR="00CB5ED0" w:rsidRPr="00CB5ED0" w:rsidRDefault="00CB5ED0" w:rsidP="00A109F9">
            <w:pPr>
              <w:jc w:val="left"/>
            </w:pPr>
            <w:r w:rsidRPr="00CB5ED0">
              <w:t>Unsafe</w:t>
            </w:r>
          </w:p>
        </w:tc>
        <w:tc>
          <w:tcPr>
            <w:tcW w:w="0" w:type="auto"/>
            <w:shd w:val="clear" w:color="auto" w:fill="F6C5AC" w:themeFill="accent2" w:themeFillTint="66"/>
            <w:vAlign w:val="center"/>
            <w:hideMark/>
          </w:tcPr>
          <w:p w14:paraId="081A2B4C" w14:textId="77777777" w:rsidR="00CB5ED0" w:rsidRPr="00CB5ED0" w:rsidRDefault="00CB5ED0" w:rsidP="00A109F9">
            <w:pPr>
              <w:jc w:val="left"/>
            </w:pPr>
            <w:r w:rsidRPr="00CB5ED0">
              <w:t>Advice appears potentially unsuitable and may be open to future challenge.</w:t>
            </w:r>
          </w:p>
        </w:tc>
      </w:tr>
      <w:tr w:rsidR="00CB5ED0" w:rsidRPr="00CB5ED0" w14:paraId="443DF228" w14:textId="77777777" w:rsidTr="00E82705">
        <w:trPr>
          <w:tblCellSpacing w:w="15" w:type="dxa"/>
        </w:trPr>
        <w:tc>
          <w:tcPr>
            <w:tcW w:w="0" w:type="auto"/>
            <w:vAlign w:val="center"/>
            <w:hideMark/>
          </w:tcPr>
          <w:p w14:paraId="4B3D07E0" w14:textId="77777777" w:rsidR="00CB5ED0" w:rsidRPr="00CB5ED0" w:rsidRDefault="00CB5ED0" w:rsidP="00A109F9">
            <w:pPr>
              <w:jc w:val="center"/>
            </w:pPr>
            <w:r w:rsidRPr="00CB5ED0">
              <w:t>E</w:t>
            </w:r>
          </w:p>
        </w:tc>
        <w:tc>
          <w:tcPr>
            <w:tcW w:w="0" w:type="auto"/>
            <w:vAlign w:val="center"/>
            <w:hideMark/>
          </w:tcPr>
          <w:p w14:paraId="7F640B7D" w14:textId="77777777" w:rsidR="00CB5ED0" w:rsidRPr="00CB5ED0" w:rsidRDefault="00CB5ED0" w:rsidP="00A109F9">
            <w:pPr>
              <w:jc w:val="left"/>
            </w:pPr>
            <w:r w:rsidRPr="00CB5ED0">
              <w:t>Unsuitable</w:t>
            </w:r>
          </w:p>
        </w:tc>
        <w:tc>
          <w:tcPr>
            <w:tcW w:w="0" w:type="auto"/>
            <w:shd w:val="clear" w:color="auto" w:fill="FF0000"/>
            <w:vAlign w:val="center"/>
            <w:hideMark/>
          </w:tcPr>
          <w:p w14:paraId="3C19C8ED" w14:textId="77777777" w:rsidR="00CB5ED0" w:rsidRPr="00CB5ED0" w:rsidRDefault="00CB5ED0" w:rsidP="00A109F9">
            <w:pPr>
              <w:jc w:val="left"/>
            </w:pPr>
            <w:r w:rsidRPr="00CB5ED0">
              <w:t xml:space="preserve">Advice </w:t>
            </w:r>
            <w:proofErr w:type="gramStart"/>
            <w:r w:rsidRPr="00CB5ED0">
              <w:t>is deemed</w:t>
            </w:r>
            <w:proofErr w:type="gramEnd"/>
            <w:r w:rsidRPr="00CB5ED0">
              <w:t xml:space="preserve"> unsuitable. Immediate escalation to management </w:t>
            </w:r>
            <w:proofErr w:type="gramStart"/>
            <w:r w:rsidRPr="00CB5ED0">
              <w:t>is required</w:t>
            </w:r>
            <w:proofErr w:type="gramEnd"/>
            <w:r w:rsidRPr="00CB5ED0">
              <w:t>.</w:t>
            </w:r>
          </w:p>
        </w:tc>
      </w:tr>
    </w:tbl>
    <w:p w14:paraId="177FBC01" w14:textId="48F805DB" w:rsidR="00CB5ED0" w:rsidRPr="00CB5ED0" w:rsidRDefault="00CB5ED0" w:rsidP="00CB5ED0"/>
    <w:p w14:paraId="1A5C332E" w14:textId="77777777" w:rsidR="00CB5ED0" w:rsidRPr="00CB5ED0" w:rsidRDefault="00CB5ED0" w:rsidP="00CB5ED0">
      <w:pPr>
        <w:rPr>
          <w:b/>
          <w:bCs/>
        </w:rPr>
      </w:pPr>
      <w:r w:rsidRPr="00CB5ED0">
        <w:rPr>
          <w:b/>
          <w:bCs/>
        </w:rPr>
        <w:t>Remedial Actions and Timeframes</w:t>
      </w:r>
    </w:p>
    <w:p w14:paraId="5E2423C1" w14:textId="77777777" w:rsidR="00CB5ED0" w:rsidRPr="00CB5ED0" w:rsidRDefault="00CB5ED0" w:rsidP="00CB5ED0">
      <w:r w:rsidRPr="00CB5ED0">
        <w:t xml:space="preserve">Upon receiving their file feedback, advisers </w:t>
      </w:r>
      <w:proofErr w:type="gramStart"/>
      <w:r w:rsidRPr="00CB5ED0">
        <w:t>are required</w:t>
      </w:r>
      <w:proofErr w:type="gramEnd"/>
      <w:r w:rsidRPr="00CB5ED0">
        <w:t xml:space="preserve"> to complete any </w:t>
      </w:r>
      <w:r w:rsidRPr="00CB5ED0">
        <w:rPr>
          <w:b/>
          <w:bCs/>
        </w:rPr>
        <w:t xml:space="preserve">remedial actions or responses within </w:t>
      </w:r>
      <w:proofErr w:type="gramStart"/>
      <w:r w:rsidRPr="00CB5ED0">
        <w:rPr>
          <w:b/>
          <w:bCs/>
        </w:rPr>
        <w:t>5</w:t>
      </w:r>
      <w:proofErr w:type="gramEnd"/>
      <w:r w:rsidRPr="00CB5ED0">
        <w:rPr>
          <w:b/>
          <w:bCs/>
        </w:rPr>
        <w:t xml:space="preserve"> working days</w:t>
      </w:r>
      <w:r w:rsidRPr="00CB5ED0">
        <w:t>. This ensures timely correction and helps maintain client protection and regulatory standards.</w:t>
      </w:r>
    </w:p>
    <w:p w14:paraId="2B7C9E39" w14:textId="77777777" w:rsidR="00CB5ED0" w:rsidRPr="00CB5ED0" w:rsidRDefault="00CB5ED0" w:rsidP="00CB5ED0">
      <w:r w:rsidRPr="00CB5ED0">
        <w:t xml:space="preserve">If an adviser disagrees with the grade awarded, they may request a review of the decision </w:t>
      </w:r>
      <w:r w:rsidRPr="00CB5ED0">
        <w:rPr>
          <w:b/>
          <w:bCs/>
        </w:rPr>
        <w:t>via their supervisor only</w:t>
      </w:r>
      <w:r w:rsidRPr="00CB5ED0">
        <w:t>. The supervisor must provide a written rationale supporting the challenge, and any change to the original outcome must be authorised by the Compliance team.</w:t>
      </w:r>
    </w:p>
    <w:p w14:paraId="2C0D3051" w14:textId="44304761" w:rsidR="00CB5ED0" w:rsidRDefault="00CB5ED0" w:rsidP="00CB5ED0">
      <w:r w:rsidRPr="00CB5ED0">
        <w:t xml:space="preserve">All file reviews, responses, and related remedial actions will </w:t>
      </w:r>
      <w:proofErr w:type="gramStart"/>
      <w:r w:rsidRPr="00CB5ED0">
        <w:t>be documented</w:t>
      </w:r>
      <w:proofErr w:type="gramEnd"/>
      <w:r w:rsidRPr="00CB5ED0">
        <w:t xml:space="preserve"> and retained as part of the adviser’s T&amp;C and supervision record.</w:t>
      </w:r>
    </w:p>
    <w:p w14:paraId="2F217C3F" w14:textId="77777777" w:rsidR="00BF0076" w:rsidRDefault="00BF0076" w:rsidP="00CB5ED0"/>
    <w:p w14:paraId="1AA4D619" w14:textId="77777777" w:rsidR="006839B9" w:rsidRPr="000F487F" w:rsidRDefault="006839B9" w:rsidP="006839B9">
      <w:pPr>
        <w:pStyle w:val="Heading2"/>
        <w:rPr>
          <w:color w:val="auto"/>
        </w:rPr>
      </w:pPr>
      <w:bookmarkStart w:id="25" w:name="_Toc199838637"/>
      <w:r w:rsidRPr="000F487F">
        <w:rPr>
          <w:color w:val="auto"/>
        </w:rPr>
        <w:t>Treatment of High-Risk Transactions</w:t>
      </w:r>
      <w:bookmarkEnd w:id="25"/>
    </w:p>
    <w:p w14:paraId="40B62F49" w14:textId="77777777" w:rsidR="006839B9" w:rsidRPr="006839B9" w:rsidRDefault="006839B9" w:rsidP="006839B9">
      <w:r w:rsidRPr="006839B9">
        <w:t xml:space="preserve">All high-risk advice areas are subject to enhanced scrutiny. Files involving these advice types must </w:t>
      </w:r>
      <w:proofErr w:type="gramStart"/>
      <w:r w:rsidRPr="006839B9">
        <w:t>be submitted</w:t>
      </w:r>
      <w:proofErr w:type="gramEnd"/>
      <w:r w:rsidRPr="006839B9">
        <w:t xml:space="preserve"> for pre-approval by Compliance before any recommendations </w:t>
      </w:r>
      <w:proofErr w:type="gramStart"/>
      <w:r w:rsidRPr="006839B9">
        <w:t>are presented</w:t>
      </w:r>
      <w:proofErr w:type="gramEnd"/>
      <w:r w:rsidRPr="006839B9">
        <w:t xml:space="preserve"> to the client. They will also undergo a mandatory post-sale review.</w:t>
      </w:r>
    </w:p>
    <w:p w14:paraId="5A0B4236" w14:textId="77777777" w:rsidR="006839B9" w:rsidRDefault="006839B9" w:rsidP="005E5C53"/>
    <w:p w14:paraId="6C2ED37D" w14:textId="77777777" w:rsidR="006839B9" w:rsidRDefault="006839B9" w:rsidP="006839B9">
      <w:r w:rsidRPr="006839B9">
        <w:t xml:space="preserve">The following scenarios </w:t>
      </w:r>
      <w:proofErr w:type="gramStart"/>
      <w:r w:rsidRPr="006839B9">
        <w:t>are typically treated</w:t>
      </w:r>
      <w:proofErr w:type="gramEnd"/>
      <w:r w:rsidRPr="006839B9">
        <w:t xml:space="preserve"> as </w:t>
      </w:r>
      <w:proofErr w:type="gramStart"/>
      <w:r w:rsidRPr="006839B9">
        <w:t>high risk</w:t>
      </w:r>
      <w:proofErr w:type="gramEnd"/>
      <w:r w:rsidRPr="006839B9">
        <w:t xml:space="preserve"> and require </w:t>
      </w:r>
      <w:r w:rsidRPr="006839B9">
        <w:rPr>
          <w:b/>
          <w:bCs/>
        </w:rPr>
        <w:t>pre-approval</w:t>
      </w:r>
      <w:r w:rsidRPr="006839B9">
        <w:t xml:space="preserve"> and heightened monitoring:</w:t>
      </w:r>
    </w:p>
    <w:p w14:paraId="40E221B2" w14:textId="77777777" w:rsidR="00BF0076" w:rsidRDefault="00BF0076" w:rsidP="006839B9"/>
    <w:p w14:paraId="58266A99" w14:textId="77777777" w:rsidR="00BF0076" w:rsidRDefault="00BF0076" w:rsidP="006839B9"/>
    <w:p w14:paraId="6E22F0A3" w14:textId="77777777" w:rsidR="00BF0076" w:rsidRDefault="00BF0076" w:rsidP="006839B9"/>
    <w:p w14:paraId="59F50A07" w14:textId="77777777" w:rsidR="00BF0076" w:rsidRDefault="00BF0076" w:rsidP="006839B9"/>
    <w:p w14:paraId="4FC7CF91" w14:textId="77777777" w:rsidR="006839B9" w:rsidRDefault="006839B9" w:rsidP="006839B9"/>
    <w:tbl>
      <w:tblPr>
        <w:tblStyle w:val="TableGrid"/>
        <w:tblW w:w="0" w:type="auto"/>
        <w:tblLook w:val="04A0" w:firstRow="1" w:lastRow="0" w:firstColumn="1" w:lastColumn="0" w:noHBand="0" w:noVBand="1"/>
      </w:tblPr>
      <w:tblGrid>
        <w:gridCol w:w="5382"/>
        <w:gridCol w:w="3634"/>
      </w:tblGrid>
      <w:tr w:rsidR="006839B9" w14:paraId="2438F25F" w14:textId="77777777" w:rsidTr="000F487F">
        <w:tc>
          <w:tcPr>
            <w:tcW w:w="5382" w:type="dxa"/>
            <w:shd w:val="clear" w:color="auto" w:fill="000000" w:themeFill="text1"/>
          </w:tcPr>
          <w:p w14:paraId="5232B7A8" w14:textId="2CAE48C0" w:rsidR="006839B9" w:rsidRDefault="006839B9" w:rsidP="006839B9">
            <w:pPr>
              <w:jc w:val="center"/>
            </w:pPr>
            <w:r>
              <w:rPr>
                <w:b/>
                <w:bCs/>
              </w:rPr>
              <w:t>High Risk Area</w:t>
            </w:r>
          </w:p>
        </w:tc>
        <w:tc>
          <w:tcPr>
            <w:tcW w:w="3634" w:type="dxa"/>
            <w:shd w:val="clear" w:color="auto" w:fill="000000" w:themeFill="text1"/>
          </w:tcPr>
          <w:p w14:paraId="7EBC98A5" w14:textId="0C1782C1" w:rsidR="006839B9" w:rsidRDefault="006839B9" w:rsidP="006839B9">
            <w:pPr>
              <w:jc w:val="center"/>
            </w:pPr>
            <w:r w:rsidRPr="006839B9">
              <w:rPr>
                <w:b/>
                <w:bCs/>
              </w:rPr>
              <w:t>Who can approve?</w:t>
            </w:r>
          </w:p>
        </w:tc>
      </w:tr>
      <w:tr w:rsidR="006839B9" w14:paraId="057C70AA" w14:textId="77777777" w:rsidTr="006839B9">
        <w:tc>
          <w:tcPr>
            <w:tcW w:w="5382" w:type="dxa"/>
          </w:tcPr>
          <w:p w14:paraId="05882843" w14:textId="61BDE4AE" w:rsidR="006839B9" w:rsidRPr="006839B9" w:rsidRDefault="006839B9" w:rsidP="006839B9">
            <w:pPr>
              <w:jc w:val="left"/>
              <w:rPr>
                <w:b/>
                <w:bCs/>
                <w:color w:val="FF0000"/>
              </w:rPr>
            </w:pPr>
            <w:r w:rsidRPr="006839B9">
              <w:rPr>
                <w:b/>
                <w:bCs/>
                <w:color w:val="FF0000"/>
              </w:rPr>
              <w:t>Pension Transfers</w:t>
            </w:r>
            <w:r w:rsidRPr="006839B9">
              <w:rPr>
                <w:color w:val="FF0000"/>
              </w:rPr>
              <w:t xml:space="preserve"> involving safeguarded benefits or where TVC/APTA outputs raise concerns</w:t>
            </w:r>
          </w:p>
        </w:tc>
        <w:tc>
          <w:tcPr>
            <w:tcW w:w="3634" w:type="dxa"/>
          </w:tcPr>
          <w:p w14:paraId="537D358E" w14:textId="77777777" w:rsidR="006839B9" w:rsidRDefault="006839B9" w:rsidP="006839B9">
            <w:pPr>
              <w:jc w:val="left"/>
            </w:pPr>
          </w:p>
        </w:tc>
      </w:tr>
      <w:tr w:rsidR="006839B9" w14:paraId="3F67A2B6" w14:textId="77777777" w:rsidTr="006839B9">
        <w:tc>
          <w:tcPr>
            <w:tcW w:w="5382" w:type="dxa"/>
          </w:tcPr>
          <w:p w14:paraId="37B6E6E0" w14:textId="37466F5A" w:rsidR="006839B9" w:rsidRPr="006839B9" w:rsidRDefault="006839B9" w:rsidP="006839B9">
            <w:pPr>
              <w:jc w:val="left"/>
              <w:rPr>
                <w:color w:val="FF0000"/>
              </w:rPr>
            </w:pPr>
            <w:r w:rsidRPr="006839B9">
              <w:rPr>
                <w:b/>
                <w:bCs/>
                <w:color w:val="FF0000"/>
              </w:rPr>
              <w:t>Defined Benefit Transfers</w:t>
            </w:r>
            <w:r w:rsidRPr="006839B9">
              <w:rPr>
                <w:color w:val="FF0000"/>
              </w:rPr>
              <w:t xml:space="preserve"> or advice involving guaranteed annuity rates</w:t>
            </w:r>
          </w:p>
        </w:tc>
        <w:tc>
          <w:tcPr>
            <w:tcW w:w="3634" w:type="dxa"/>
          </w:tcPr>
          <w:p w14:paraId="7EC3FA56" w14:textId="77777777" w:rsidR="006839B9" w:rsidRDefault="006839B9" w:rsidP="006839B9">
            <w:pPr>
              <w:jc w:val="left"/>
            </w:pPr>
          </w:p>
        </w:tc>
      </w:tr>
      <w:tr w:rsidR="006839B9" w14:paraId="128465C0" w14:textId="77777777" w:rsidTr="006839B9">
        <w:tc>
          <w:tcPr>
            <w:tcW w:w="5382" w:type="dxa"/>
          </w:tcPr>
          <w:p w14:paraId="51B02CBB" w14:textId="2FC64654" w:rsidR="006839B9" w:rsidRPr="006839B9" w:rsidRDefault="006839B9" w:rsidP="006839B9">
            <w:pPr>
              <w:jc w:val="left"/>
              <w:rPr>
                <w:color w:val="FF0000"/>
              </w:rPr>
            </w:pPr>
            <w:r w:rsidRPr="006839B9">
              <w:rPr>
                <w:b/>
                <w:bCs/>
                <w:color w:val="FF0000"/>
              </w:rPr>
              <w:t>Structured Products</w:t>
            </w:r>
            <w:r w:rsidRPr="006839B9">
              <w:rPr>
                <w:color w:val="FF0000"/>
              </w:rPr>
              <w:t>, including structured deposits</w:t>
            </w:r>
          </w:p>
        </w:tc>
        <w:tc>
          <w:tcPr>
            <w:tcW w:w="3634" w:type="dxa"/>
          </w:tcPr>
          <w:p w14:paraId="6EB0DFBE" w14:textId="77777777" w:rsidR="006839B9" w:rsidRDefault="006839B9" w:rsidP="006839B9">
            <w:pPr>
              <w:jc w:val="left"/>
            </w:pPr>
          </w:p>
        </w:tc>
      </w:tr>
      <w:tr w:rsidR="006839B9" w14:paraId="2878B51F" w14:textId="77777777" w:rsidTr="006839B9">
        <w:tc>
          <w:tcPr>
            <w:tcW w:w="5382" w:type="dxa"/>
          </w:tcPr>
          <w:p w14:paraId="3D41C22A" w14:textId="2EA8F7F9" w:rsidR="006839B9" w:rsidRPr="006839B9" w:rsidRDefault="006839B9" w:rsidP="006839B9">
            <w:pPr>
              <w:jc w:val="left"/>
              <w:rPr>
                <w:color w:val="FF0000"/>
              </w:rPr>
            </w:pPr>
            <w:r w:rsidRPr="006839B9">
              <w:rPr>
                <w:b/>
                <w:bCs/>
                <w:color w:val="FF0000"/>
              </w:rPr>
              <w:t xml:space="preserve">Enterprise Investment Schemes, Seed EIS, and Venture Capital Trusts </w:t>
            </w:r>
          </w:p>
        </w:tc>
        <w:tc>
          <w:tcPr>
            <w:tcW w:w="3634" w:type="dxa"/>
          </w:tcPr>
          <w:p w14:paraId="1EC28BC5" w14:textId="77777777" w:rsidR="006839B9" w:rsidRDefault="006839B9" w:rsidP="006839B9">
            <w:pPr>
              <w:jc w:val="left"/>
            </w:pPr>
          </w:p>
        </w:tc>
      </w:tr>
      <w:tr w:rsidR="006839B9" w14:paraId="77952189" w14:textId="77777777" w:rsidTr="006839B9">
        <w:tc>
          <w:tcPr>
            <w:tcW w:w="5382" w:type="dxa"/>
          </w:tcPr>
          <w:p w14:paraId="6156D34A" w14:textId="4487F403" w:rsidR="006839B9" w:rsidRPr="006839B9" w:rsidRDefault="006839B9" w:rsidP="006839B9">
            <w:pPr>
              <w:jc w:val="left"/>
              <w:rPr>
                <w:color w:val="FF0000"/>
              </w:rPr>
            </w:pPr>
            <w:r w:rsidRPr="006839B9">
              <w:rPr>
                <w:b/>
                <w:bCs/>
                <w:color w:val="FF0000"/>
              </w:rPr>
              <w:t>Business Relief-based Investments</w:t>
            </w:r>
            <w:r w:rsidRPr="006839B9">
              <w:rPr>
                <w:color w:val="FF0000"/>
              </w:rPr>
              <w:t>, including AIM portfolios</w:t>
            </w:r>
          </w:p>
        </w:tc>
        <w:tc>
          <w:tcPr>
            <w:tcW w:w="3634" w:type="dxa"/>
          </w:tcPr>
          <w:p w14:paraId="5AF4ACC6" w14:textId="77777777" w:rsidR="006839B9" w:rsidRDefault="006839B9" w:rsidP="006839B9">
            <w:pPr>
              <w:jc w:val="left"/>
            </w:pPr>
          </w:p>
        </w:tc>
      </w:tr>
      <w:tr w:rsidR="006839B9" w14:paraId="0200D1EC" w14:textId="77777777" w:rsidTr="006839B9">
        <w:tc>
          <w:tcPr>
            <w:tcW w:w="5382" w:type="dxa"/>
          </w:tcPr>
          <w:p w14:paraId="607765F1" w14:textId="04FFD7B1" w:rsidR="006839B9" w:rsidRPr="006839B9" w:rsidRDefault="006839B9" w:rsidP="006839B9">
            <w:pPr>
              <w:jc w:val="left"/>
              <w:rPr>
                <w:color w:val="FF0000"/>
              </w:rPr>
            </w:pPr>
            <w:r w:rsidRPr="006839B9">
              <w:rPr>
                <w:b/>
                <w:bCs/>
                <w:color w:val="FF0000"/>
              </w:rPr>
              <w:t>Lifetime Mortgages or Equity Release</w:t>
            </w:r>
          </w:p>
        </w:tc>
        <w:tc>
          <w:tcPr>
            <w:tcW w:w="3634" w:type="dxa"/>
          </w:tcPr>
          <w:p w14:paraId="5F8EBD4B" w14:textId="77777777" w:rsidR="006839B9" w:rsidRDefault="006839B9" w:rsidP="006839B9">
            <w:pPr>
              <w:jc w:val="left"/>
            </w:pPr>
          </w:p>
        </w:tc>
      </w:tr>
      <w:tr w:rsidR="006839B9" w14:paraId="005C37E3" w14:textId="77777777" w:rsidTr="006839B9">
        <w:tc>
          <w:tcPr>
            <w:tcW w:w="5382" w:type="dxa"/>
          </w:tcPr>
          <w:p w14:paraId="4995CC5D" w14:textId="74E6E1B3" w:rsidR="006839B9" w:rsidRPr="006839B9" w:rsidRDefault="006839B9" w:rsidP="006839B9">
            <w:pPr>
              <w:jc w:val="left"/>
              <w:rPr>
                <w:color w:val="FF0000"/>
              </w:rPr>
            </w:pPr>
            <w:r w:rsidRPr="006839B9">
              <w:rPr>
                <w:b/>
                <w:bCs/>
                <w:color w:val="FF0000"/>
              </w:rPr>
              <w:t>Long-Term Care Planning</w:t>
            </w:r>
            <w:r w:rsidRPr="006839B9">
              <w:rPr>
                <w:color w:val="FF0000"/>
              </w:rPr>
              <w:t xml:space="preserve"> involving investment drawdown or </w:t>
            </w:r>
          </w:p>
        </w:tc>
        <w:tc>
          <w:tcPr>
            <w:tcW w:w="3634" w:type="dxa"/>
          </w:tcPr>
          <w:p w14:paraId="12CDE879" w14:textId="77777777" w:rsidR="006839B9" w:rsidRDefault="006839B9" w:rsidP="006839B9">
            <w:pPr>
              <w:jc w:val="left"/>
            </w:pPr>
          </w:p>
        </w:tc>
      </w:tr>
      <w:tr w:rsidR="006839B9" w14:paraId="7B4D4004" w14:textId="77777777" w:rsidTr="006839B9">
        <w:tc>
          <w:tcPr>
            <w:tcW w:w="5382" w:type="dxa"/>
          </w:tcPr>
          <w:p w14:paraId="7FE66843" w14:textId="7B185DA6" w:rsidR="006839B9" w:rsidRPr="006839B9" w:rsidRDefault="006839B9" w:rsidP="006839B9">
            <w:pPr>
              <w:jc w:val="left"/>
              <w:rPr>
                <w:color w:val="FF0000"/>
              </w:rPr>
            </w:pPr>
            <w:r w:rsidRPr="006839B9">
              <w:rPr>
                <w:b/>
                <w:bCs/>
                <w:color w:val="FF0000"/>
              </w:rPr>
              <w:t>Occupational Scheme Transfers</w:t>
            </w:r>
          </w:p>
        </w:tc>
        <w:tc>
          <w:tcPr>
            <w:tcW w:w="3634" w:type="dxa"/>
          </w:tcPr>
          <w:p w14:paraId="453AC967" w14:textId="77777777" w:rsidR="006839B9" w:rsidRDefault="006839B9" w:rsidP="006839B9">
            <w:pPr>
              <w:jc w:val="left"/>
            </w:pPr>
          </w:p>
        </w:tc>
      </w:tr>
      <w:tr w:rsidR="006839B9" w14:paraId="181B459F" w14:textId="77777777" w:rsidTr="006839B9">
        <w:tc>
          <w:tcPr>
            <w:tcW w:w="5382" w:type="dxa"/>
          </w:tcPr>
          <w:p w14:paraId="19FA140E" w14:textId="79CDD33F" w:rsidR="006839B9" w:rsidRPr="006839B9" w:rsidRDefault="006839B9" w:rsidP="006839B9">
            <w:pPr>
              <w:rPr>
                <w:color w:val="FF0000"/>
              </w:rPr>
            </w:pPr>
            <w:r w:rsidRPr="006839B9">
              <w:rPr>
                <w:b/>
                <w:bCs/>
                <w:color w:val="FF0000"/>
              </w:rPr>
              <w:t>Property Purchase via SIPP or SSAS</w:t>
            </w:r>
          </w:p>
        </w:tc>
        <w:tc>
          <w:tcPr>
            <w:tcW w:w="3634" w:type="dxa"/>
          </w:tcPr>
          <w:p w14:paraId="29E02C96" w14:textId="77777777" w:rsidR="006839B9" w:rsidRDefault="006839B9" w:rsidP="006839B9">
            <w:pPr>
              <w:jc w:val="left"/>
            </w:pPr>
          </w:p>
        </w:tc>
      </w:tr>
      <w:tr w:rsidR="006839B9" w14:paraId="5EB8911B" w14:textId="77777777" w:rsidTr="006839B9">
        <w:tc>
          <w:tcPr>
            <w:tcW w:w="5382" w:type="dxa"/>
          </w:tcPr>
          <w:p w14:paraId="4F8C4239" w14:textId="418582B4" w:rsidR="006839B9" w:rsidRPr="006839B9" w:rsidRDefault="006839B9" w:rsidP="006839B9">
            <w:pPr>
              <w:jc w:val="left"/>
              <w:rPr>
                <w:color w:val="FF0000"/>
              </w:rPr>
            </w:pPr>
            <w:r w:rsidRPr="006839B9">
              <w:rPr>
                <w:b/>
                <w:bCs/>
                <w:color w:val="FF0000"/>
              </w:rPr>
              <w:t>Replacement Business</w:t>
            </w:r>
            <w:r w:rsidRPr="006839B9">
              <w:rPr>
                <w:color w:val="FF0000"/>
              </w:rPr>
              <w:t xml:space="preserve"> where the client is switching products with higher projected benefits, or where ongoing costs may not </w:t>
            </w:r>
            <w:proofErr w:type="gramStart"/>
            <w:r w:rsidRPr="006839B9">
              <w:rPr>
                <w:color w:val="FF0000"/>
              </w:rPr>
              <w:t>be justified</w:t>
            </w:r>
            <w:proofErr w:type="gramEnd"/>
          </w:p>
        </w:tc>
        <w:tc>
          <w:tcPr>
            <w:tcW w:w="3634" w:type="dxa"/>
          </w:tcPr>
          <w:p w14:paraId="52D55F5F" w14:textId="77777777" w:rsidR="006839B9" w:rsidRDefault="006839B9" w:rsidP="006839B9">
            <w:pPr>
              <w:jc w:val="left"/>
            </w:pPr>
          </w:p>
        </w:tc>
      </w:tr>
      <w:tr w:rsidR="006839B9" w14:paraId="33AAEE07" w14:textId="77777777" w:rsidTr="006839B9">
        <w:tc>
          <w:tcPr>
            <w:tcW w:w="5382" w:type="dxa"/>
          </w:tcPr>
          <w:p w14:paraId="05DA087F" w14:textId="07D926B6" w:rsidR="006839B9" w:rsidRPr="006839B9" w:rsidRDefault="006839B9" w:rsidP="006839B9">
            <w:pPr>
              <w:rPr>
                <w:color w:val="FF0000"/>
              </w:rPr>
            </w:pPr>
            <w:r w:rsidRPr="006839B9">
              <w:rPr>
                <w:b/>
                <w:bCs/>
                <w:color w:val="FF0000"/>
              </w:rPr>
              <w:t>Investments for Non-UK Residents</w:t>
            </w:r>
          </w:p>
        </w:tc>
        <w:tc>
          <w:tcPr>
            <w:tcW w:w="3634" w:type="dxa"/>
          </w:tcPr>
          <w:p w14:paraId="1884A497" w14:textId="77777777" w:rsidR="006839B9" w:rsidRDefault="006839B9" w:rsidP="006839B9">
            <w:pPr>
              <w:jc w:val="left"/>
            </w:pPr>
          </w:p>
        </w:tc>
      </w:tr>
      <w:tr w:rsidR="006839B9" w:rsidRPr="00023FFC" w14:paraId="52BCFCAB" w14:textId="77777777" w:rsidTr="006839B9">
        <w:tc>
          <w:tcPr>
            <w:tcW w:w="5382" w:type="dxa"/>
          </w:tcPr>
          <w:p w14:paraId="3F7A4CB9" w14:textId="109813AC" w:rsidR="006839B9" w:rsidRPr="00C04711" w:rsidRDefault="006839B9" w:rsidP="006839B9">
            <w:pPr>
              <w:rPr>
                <w:color w:val="FF0000"/>
                <w:lang w:val="de-DE"/>
              </w:rPr>
            </w:pPr>
            <w:r w:rsidRPr="006839B9">
              <w:rPr>
                <w:b/>
                <w:bCs/>
                <w:color w:val="FF0000"/>
                <w:lang w:val="de-DE"/>
              </w:rPr>
              <w:t>Lump Sum IHT Mitigation Schemes</w:t>
            </w:r>
          </w:p>
        </w:tc>
        <w:tc>
          <w:tcPr>
            <w:tcW w:w="3634" w:type="dxa"/>
          </w:tcPr>
          <w:p w14:paraId="51DE284D" w14:textId="77777777" w:rsidR="006839B9" w:rsidRPr="00C04711" w:rsidRDefault="006839B9" w:rsidP="006839B9">
            <w:pPr>
              <w:jc w:val="left"/>
              <w:rPr>
                <w:lang w:val="de-DE"/>
              </w:rPr>
            </w:pPr>
          </w:p>
        </w:tc>
      </w:tr>
      <w:tr w:rsidR="006839B9" w14:paraId="0E9AD44A" w14:textId="77777777" w:rsidTr="006839B9">
        <w:tc>
          <w:tcPr>
            <w:tcW w:w="5382" w:type="dxa"/>
          </w:tcPr>
          <w:p w14:paraId="37361F23" w14:textId="5B7CF13E" w:rsidR="006839B9" w:rsidRPr="006839B9" w:rsidRDefault="006839B9" w:rsidP="006839B9">
            <w:pPr>
              <w:jc w:val="left"/>
              <w:rPr>
                <w:color w:val="FF0000"/>
              </w:rPr>
            </w:pPr>
            <w:r w:rsidRPr="006839B9">
              <w:rPr>
                <w:b/>
                <w:bCs/>
                <w:color w:val="FF0000"/>
              </w:rPr>
              <w:t>Advice where Adjusted AGR exceeds firm’s threshold</w:t>
            </w:r>
          </w:p>
        </w:tc>
        <w:tc>
          <w:tcPr>
            <w:tcW w:w="3634" w:type="dxa"/>
          </w:tcPr>
          <w:p w14:paraId="32555496" w14:textId="77777777" w:rsidR="006839B9" w:rsidRDefault="006839B9" w:rsidP="006839B9">
            <w:pPr>
              <w:jc w:val="left"/>
            </w:pPr>
          </w:p>
        </w:tc>
      </w:tr>
      <w:tr w:rsidR="006839B9" w14:paraId="302BF250" w14:textId="77777777" w:rsidTr="006839B9">
        <w:tc>
          <w:tcPr>
            <w:tcW w:w="5382" w:type="dxa"/>
          </w:tcPr>
          <w:p w14:paraId="64CECD88" w14:textId="5D32ECD1" w:rsidR="006839B9" w:rsidRPr="006839B9" w:rsidRDefault="006839B9" w:rsidP="006839B9">
            <w:pPr>
              <w:jc w:val="left"/>
              <w:rPr>
                <w:color w:val="FF0000"/>
              </w:rPr>
            </w:pPr>
            <w:r w:rsidRPr="006839B9">
              <w:rPr>
                <w:b/>
                <w:bCs/>
                <w:color w:val="FF0000"/>
              </w:rPr>
              <w:t>Ad-hoc or bespoke financial planning propositions outside normal firm strategy</w:t>
            </w:r>
          </w:p>
        </w:tc>
        <w:tc>
          <w:tcPr>
            <w:tcW w:w="3634" w:type="dxa"/>
          </w:tcPr>
          <w:p w14:paraId="6CAFD284" w14:textId="77777777" w:rsidR="006839B9" w:rsidRDefault="006839B9" w:rsidP="006839B9">
            <w:pPr>
              <w:jc w:val="left"/>
            </w:pPr>
          </w:p>
        </w:tc>
      </w:tr>
      <w:tr w:rsidR="006839B9" w14:paraId="055AF4C7" w14:textId="77777777" w:rsidTr="006839B9">
        <w:tc>
          <w:tcPr>
            <w:tcW w:w="5382" w:type="dxa"/>
          </w:tcPr>
          <w:p w14:paraId="2BE3201E" w14:textId="3BAE68E2" w:rsidR="006839B9" w:rsidRPr="006839B9" w:rsidRDefault="006839B9" w:rsidP="006839B9">
            <w:pPr>
              <w:jc w:val="left"/>
              <w:rPr>
                <w:b/>
                <w:bCs/>
                <w:color w:val="FF0000"/>
              </w:rPr>
            </w:pPr>
            <w:r w:rsidRPr="006839B9">
              <w:rPr>
                <w:b/>
                <w:bCs/>
                <w:color w:val="FF0000"/>
              </w:rPr>
              <w:t xml:space="preserve">Any advice where the client </w:t>
            </w:r>
            <w:proofErr w:type="gramStart"/>
            <w:r w:rsidRPr="006839B9">
              <w:rPr>
                <w:b/>
                <w:bCs/>
                <w:color w:val="FF0000"/>
              </w:rPr>
              <w:t>is identified</w:t>
            </w:r>
            <w:proofErr w:type="gramEnd"/>
            <w:r w:rsidRPr="006839B9">
              <w:rPr>
                <w:b/>
                <w:bCs/>
                <w:color w:val="FF0000"/>
              </w:rPr>
              <w:t xml:space="preserve"> as displaying any characteristics of vulnerability</w:t>
            </w:r>
          </w:p>
        </w:tc>
        <w:tc>
          <w:tcPr>
            <w:tcW w:w="3634" w:type="dxa"/>
          </w:tcPr>
          <w:p w14:paraId="4353EA93" w14:textId="77777777" w:rsidR="006839B9" w:rsidRDefault="006839B9" w:rsidP="006839B9">
            <w:pPr>
              <w:jc w:val="left"/>
            </w:pPr>
          </w:p>
        </w:tc>
      </w:tr>
    </w:tbl>
    <w:p w14:paraId="347640EF" w14:textId="77777777" w:rsidR="006839B9" w:rsidRPr="006839B9" w:rsidRDefault="006839B9" w:rsidP="006839B9"/>
    <w:p w14:paraId="3C64CA32" w14:textId="77777777" w:rsidR="008A59C8" w:rsidRDefault="008A59C8" w:rsidP="005E5C53"/>
    <w:p w14:paraId="23250FC0" w14:textId="77777777" w:rsidR="008737AB" w:rsidRPr="000F487F" w:rsidRDefault="008737AB" w:rsidP="008737AB">
      <w:pPr>
        <w:pStyle w:val="Heading1"/>
        <w:rPr>
          <w:color w:val="auto"/>
        </w:rPr>
      </w:pPr>
      <w:bookmarkStart w:id="26" w:name="_Toc199838638"/>
      <w:r w:rsidRPr="000F487F">
        <w:rPr>
          <w:color w:val="auto"/>
        </w:rPr>
        <w:t>Record Keeping and Governance</w:t>
      </w:r>
      <w:bookmarkEnd w:id="26"/>
    </w:p>
    <w:p w14:paraId="5FDA0699" w14:textId="7D9CA052" w:rsidR="008737AB" w:rsidRPr="008737AB" w:rsidRDefault="008737AB" w:rsidP="008737AB">
      <w:r w:rsidRPr="008737AB">
        <w:t>Maintaining accurate and comprehensive records is a fundamental component of our Training &amp; Competence framework. These records support our regulatory obligations, evidence adviser development and supervision, and ensure transparency in the event of future regulatory or employment-related enquiries.</w:t>
      </w:r>
    </w:p>
    <w:p w14:paraId="4A3C1138" w14:textId="77777777" w:rsidR="008737AB" w:rsidRPr="008737AB" w:rsidRDefault="008737AB" w:rsidP="008737AB">
      <w:r w:rsidRPr="008737AB">
        <w:lastRenderedPageBreak/>
        <w:t>We retain records for defined periods following the cessation of regulated activity by the individual, in accordance with applicable regulatory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5"/>
        <w:gridCol w:w="5321"/>
      </w:tblGrid>
      <w:tr w:rsidR="008737AB" w:rsidRPr="008737AB" w14:paraId="40B1A1F0" w14:textId="77777777" w:rsidTr="000F487F">
        <w:trPr>
          <w:tblHeader/>
          <w:tblCellSpacing w:w="15" w:type="dxa"/>
        </w:trPr>
        <w:tc>
          <w:tcPr>
            <w:tcW w:w="0" w:type="auto"/>
            <w:shd w:val="clear" w:color="auto" w:fill="000000" w:themeFill="text1"/>
            <w:vAlign w:val="center"/>
            <w:hideMark/>
          </w:tcPr>
          <w:p w14:paraId="7D6D71EC" w14:textId="77777777" w:rsidR="008737AB" w:rsidRPr="008737AB" w:rsidRDefault="008737AB" w:rsidP="008737AB">
            <w:pPr>
              <w:rPr>
                <w:b/>
                <w:bCs/>
              </w:rPr>
            </w:pPr>
            <w:r w:rsidRPr="008737AB">
              <w:rPr>
                <w:b/>
                <w:bCs/>
              </w:rPr>
              <w:t>Activity Type</w:t>
            </w:r>
          </w:p>
        </w:tc>
        <w:tc>
          <w:tcPr>
            <w:tcW w:w="0" w:type="auto"/>
            <w:shd w:val="clear" w:color="auto" w:fill="000000" w:themeFill="text1"/>
            <w:vAlign w:val="center"/>
            <w:hideMark/>
          </w:tcPr>
          <w:p w14:paraId="6AB8701B" w14:textId="77777777" w:rsidR="008737AB" w:rsidRPr="008737AB" w:rsidRDefault="008737AB" w:rsidP="00286071">
            <w:pPr>
              <w:jc w:val="left"/>
              <w:rPr>
                <w:b/>
                <w:bCs/>
              </w:rPr>
            </w:pPr>
            <w:r w:rsidRPr="008737AB">
              <w:rPr>
                <w:b/>
                <w:bCs/>
              </w:rPr>
              <w:t>Minimum Record Retention Period (post-cessation)</w:t>
            </w:r>
          </w:p>
        </w:tc>
      </w:tr>
      <w:tr w:rsidR="008737AB" w:rsidRPr="008737AB" w14:paraId="1344392D" w14:textId="77777777" w:rsidTr="00286071">
        <w:trPr>
          <w:tblCellSpacing w:w="15" w:type="dxa"/>
        </w:trPr>
        <w:tc>
          <w:tcPr>
            <w:tcW w:w="0" w:type="auto"/>
            <w:vAlign w:val="center"/>
            <w:hideMark/>
          </w:tcPr>
          <w:p w14:paraId="799E3DC4" w14:textId="77777777" w:rsidR="008737AB" w:rsidRPr="008737AB" w:rsidRDefault="008737AB" w:rsidP="00286071">
            <w:pPr>
              <w:jc w:val="left"/>
            </w:pPr>
            <w:r w:rsidRPr="008737AB">
              <w:t>Investment Advice (MiFID business)</w:t>
            </w:r>
          </w:p>
        </w:tc>
        <w:tc>
          <w:tcPr>
            <w:tcW w:w="0" w:type="auto"/>
            <w:vAlign w:val="center"/>
            <w:hideMark/>
          </w:tcPr>
          <w:p w14:paraId="46B47047" w14:textId="77777777" w:rsidR="008737AB" w:rsidRPr="008737AB" w:rsidRDefault="008737AB" w:rsidP="00286071">
            <w:pPr>
              <w:jc w:val="left"/>
            </w:pPr>
            <w:r w:rsidRPr="008737AB">
              <w:t>5 years</w:t>
            </w:r>
          </w:p>
        </w:tc>
      </w:tr>
      <w:tr w:rsidR="008737AB" w:rsidRPr="008737AB" w14:paraId="2A96EEFE" w14:textId="77777777" w:rsidTr="00286071">
        <w:trPr>
          <w:tblCellSpacing w:w="15" w:type="dxa"/>
        </w:trPr>
        <w:tc>
          <w:tcPr>
            <w:tcW w:w="0" w:type="auto"/>
            <w:vAlign w:val="center"/>
            <w:hideMark/>
          </w:tcPr>
          <w:p w14:paraId="3B521D9C" w14:textId="77777777" w:rsidR="008737AB" w:rsidRPr="008737AB" w:rsidRDefault="008737AB" w:rsidP="00286071">
            <w:pPr>
              <w:jc w:val="left"/>
            </w:pPr>
            <w:r w:rsidRPr="008737AB">
              <w:t>Non-MiFID regulated activities</w:t>
            </w:r>
          </w:p>
        </w:tc>
        <w:tc>
          <w:tcPr>
            <w:tcW w:w="0" w:type="auto"/>
            <w:vAlign w:val="center"/>
            <w:hideMark/>
          </w:tcPr>
          <w:p w14:paraId="5846AE3B" w14:textId="77777777" w:rsidR="008737AB" w:rsidRPr="008737AB" w:rsidRDefault="008737AB" w:rsidP="00286071">
            <w:pPr>
              <w:jc w:val="left"/>
            </w:pPr>
            <w:r w:rsidRPr="008737AB">
              <w:t>3 years</w:t>
            </w:r>
          </w:p>
        </w:tc>
      </w:tr>
      <w:tr w:rsidR="008737AB" w:rsidRPr="008737AB" w14:paraId="4A34B4DA" w14:textId="77777777" w:rsidTr="00286071">
        <w:trPr>
          <w:tblCellSpacing w:w="15" w:type="dxa"/>
        </w:trPr>
        <w:tc>
          <w:tcPr>
            <w:tcW w:w="0" w:type="auto"/>
            <w:vAlign w:val="center"/>
            <w:hideMark/>
          </w:tcPr>
          <w:p w14:paraId="7B5B4CC7" w14:textId="77777777" w:rsidR="008737AB" w:rsidRPr="008737AB" w:rsidRDefault="008737AB" w:rsidP="00286071">
            <w:pPr>
              <w:jc w:val="left"/>
            </w:pPr>
            <w:r w:rsidRPr="008737AB">
              <w:t>Insurance distribution activities</w:t>
            </w:r>
          </w:p>
        </w:tc>
        <w:tc>
          <w:tcPr>
            <w:tcW w:w="0" w:type="auto"/>
            <w:vAlign w:val="center"/>
            <w:hideMark/>
          </w:tcPr>
          <w:p w14:paraId="789D6B92" w14:textId="77777777" w:rsidR="008737AB" w:rsidRPr="008737AB" w:rsidRDefault="008737AB" w:rsidP="00286071">
            <w:pPr>
              <w:jc w:val="left"/>
            </w:pPr>
            <w:r w:rsidRPr="008737AB">
              <w:t>3 years</w:t>
            </w:r>
          </w:p>
        </w:tc>
      </w:tr>
      <w:tr w:rsidR="008737AB" w:rsidRPr="008737AB" w14:paraId="537637E1" w14:textId="77777777" w:rsidTr="00286071">
        <w:trPr>
          <w:tblCellSpacing w:w="15" w:type="dxa"/>
        </w:trPr>
        <w:tc>
          <w:tcPr>
            <w:tcW w:w="0" w:type="auto"/>
            <w:vAlign w:val="center"/>
            <w:hideMark/>
          </w:tcPr>
          <w:p w14:paraId="630AEFED" w14:textId="77777777" w:rsidR="008737AB" w:rsidRPr="008737AB" w:rsidRDefault="008737AB" w:rsidP="00286071">
            <w:pPr>
              <w:jc w:val="left"/>
            </w:pPr>
            <w:r w:rsidRPr="008737AB">
              <w:t>Pension Transfer Specialists</w:t>
            </w:r>
          </w:p>
        </w:tc>
        <w:tc>
          <w:tcPr>
            <w:tcW w:w="0" w:type="auto"/>
            <w:vAlign w:val="center"/>
            <w:hideMark/>
          </w:tcPr>
          <w:p w14:paraId="35A3440B" w14:textId="77777777" w:rsidR="008737AB" w:rsidRPr="008737AB" w:rsidRDefault="008737AB" w:rsidP="00286071">
            <w:pPr>
              <w:jc w:val="left"/>
            </w:pPr>
            <w:r w:rsidRPr="008737AB">
              <w:t>Indefinitely</w:t>
            </w:r>
          </w:p>
        </w:tc>
      </w:tr>
      <w:tr w:rsidR="008737AB" w:rsidRPr="008737AB" w14:paraId="437659CE" w14:textId="77777777" w:rsidTr="00286071">
        <w:trPr>
          <w:tblCellSpacing w:w="15" w:type="dxa"/>
        </w:trPr>
        <w:tc>
          <w:tcPr>
            <w:tcW w:w="0" w:type="auto"/>
            <w:vAlign w:val="center"/>
            <w:hideMark/>
          </w:tcPr>
          <w:p w14:paraId="794AA36D" w14:textId="77777777" w:rsidR="008737AB" w:rsidRPr="008737AB" w:rsidRDefault="008737AB" w:rsidP="00286071">
            <w:pPr>
              <w:jc w:val="left"/>
            </w:pPr>
            <w:r w:rsidRPr="008737AB">
              <w:t>Disciplinary or Fit and Proper records</w:t>
            </w:r>
          </w:p>
        </w:tc>
        <w:tc>
          <w:tcPr>
            <w:tcW w:w="0" w:type="auto"/>
            <w:vAlign w:val="center"/>
            <w:hideMark/>
          </w:tcPr>
          <w:p w14:paraId="3F6C93FE" w14:textId="77777777" w:rsidR="008737AB" w:rsidRPr="008737AB" w:rsidRDefault="008737AB" w:rsidP="00286071">
            <w:pPr>
              <w:jc w:val="left"/>
            </w:pPr>
            <w:r w:rsidRPr="008737AB">
              <w:t>6 years (for regulatory reference purposes)</w:t>
            </w:r>
          </w:p>
        </w:tc>
      </w:tr>
    </w:tbl>
    <w:p w14:paraId="2E600835" w14:textId="7CBF74ED" w:rsidR="008737AB" w:rsidRPr="008737AB" w:rsidRDefault="008737AB" w:rsidP="008737AB"/>
    <w:p w14:paraId="3527A0F6" w14:textId="77777777" w:rsidR="008737AB" w:rsidRPr="008737AB" w:rsidRDefault="008737AB" w:rsidP="008737AB">
      <w:pPr>
        <w:rPr>
          <w:b/>
          <w:bCs/>
        </w:rPr>
      </w:pPr>
      <w:r w:rsidRPr="008737AB">
        <w:rPr>
          <w:b/>
          <w:bCs/>
        </w:rPr>
        <w:t>Types of Records Maintained</w:t>
      </w:r>
    </w:p>
    <w:p w14:paraId="4C56D0B0" w14:textId="77777777" w:rsidR="008737AB" w:rsidRPr="008737AB" w:rsidRDefault="008737AB" w:rsidP="008737AB">
      <w:r w:rsidRPr="008737AB">
        <w:t>The firm maintains the following records to demonstrate compliance with the T&amp;C framework:</w:t>
      </w:r>
    </w:p>
    <w:p w14:paraId="3990C92E" w14:textId="77777777" w:rsidR="008737AB" w:rsidRPr="008737AB" w:rsidRDefault="008737AB" w:rsidP="008737AB">
      <w:pPr>
        <w:numPr>
          <w:ilvl w:val="0"/>
          <w:numId w:val="39"/>
        </w:numPr>
      </w:pPr>
      <w:r w:rsidRPr="008737AB">
        <w:t>Adviser onboarding and induction records</w:t>
      </w:r>
    </w:p>
    <w:p w14:paraId="0282AA01" w14:textId="77777777" w:rsidR="008737AB" w:rsidRPr="008737AB" w:rsidRDefault="008737AB" w:rsidP="008737AB">
      <w:pPr>
        <w:numPr>
          <w:ilvl w:val="0"/>
          <w:numId w:val="39"/>
        </w:numPr>
      </w:pPr>
      <w:r w:rsidRPr="008737AB">
        <w:t>Competence sign-off assessments</w:t>
      </w:r>
    </w:p>
    <w:p w14:paraId="69C095FE" w14:textId="77777777" w:rsidR="008737AB" w:rsidRPr="008737AB" w:rsidRDefault="008737AB" w:rsidP="008737AB">
      <w:pPr>
        <w:numPr>
          <w:ilvl w:val="0"/>
          <w:numId w:val="39"/>
        </w:numPr>
      </w:pPr>
      <w:r w:rsidRPr="008737AB">
        <w:t>Observed meeting documentation</w:t>
      </w:r>
    </w:p>
    <w:p w14:paraId="1C4722DF" w14:textId="77777777" w:rsidR="008737AB" w:rsidRPr="008737AB" w:rsidRDefault="008737AB" w:rsidP="008737AB">
      <w:pPr>
        <w:numPr>
          <w:ilvl w:val="0"/>
          <w:numId w:val="39"/>
        </w:numPr>
      </w:pPr>
      <w:r w:rsidRPr="008737AB">
        <w:t>File review outcomes and remediation tracking</w:t>
      </w:r>
    </w:p>
    <w:p w14:paraId="70117736" w14:textId="77777777" w:rsidR="008737AB" w:rsidRPr="008737AB" w:rsidRDefault="008737AB" w:rsidP="008737AB">
      <w:pPr>
        <w:numPr>
          <w:ilvl w:val="0"/>
          <w:numId w:val="39"/>
        </w:numPr>
      </w:pPr>
      <w:r w:rsidRPr="008737AB">
        <w:t>1:1 supervisory meetings and coaching notes</w:t>
      </w:r>
    </w:p>
    <w:p w14:paraId="69174747" w14:textId="2DDA6745" w:rsidR="008737AB" w:rsidRPr="008737AB" w:rsidRDefault="008737AB" w:rsidP="008737AB">
      <w:pPr>
        <w:numPr>
          <w:ilvl w:val="0"/>
          <w:numId w:val="39"/>
        </w:numPr>
      </w:pPr>
      <w:r w:rsidRPr="008737AB">
        <w:t>Training Needs Analyses and Personal Development Plans</w:t>
      </w:r>
    </w:p>
    <w:p w14:paraId="3D1667F4" w14:textId="77777777" w:rsidR="008737AB" w:rsidRPr="008737AB" w:rsidRDefault="008737AB" w:rsidP="008737AB">
      <w:pPr>
        <w:numPr>
          <w:ilvl w:val="0"/>
          <w:numId w:val="39"/>
        </w:numPr>
      </w:pPr>
      <w:r w:rsidRPr="008737AB">
        <w:t>CPD logs and SPS validation</w:t>
      </w:r>
    </w:p>
    <w:p w14:paraId="1F9ECA78" w14:textId="77777777" w:rsidR="008737AB" w:rsidRPr="008737AB" w:rsidRDefault="008737AB" w:rsidP="008737AB">
      <w:pPr>
        <w:numPr>
          <w:ilvl w:val="0"/>
          <w:numId w:val="39"/>
        </w:numPr>
      </w:pPr>
      <w:r w:rsidRPr="008737AB">
        <w:t>Technical and skills assessment outcomes</w:t>
      </w:r>
    </w:p>
    <w:p w14:paraId="29CA145E" w14:textId="77777777" w:rsidR="008737AB" w:rsidRPr="008737AB" w:rsidRDefault="008737AB" w:rsidP="008737AB">
      <w:pPr>
        <w:numPr>
          <w:ilvl w:val="0"/>
          <w:numId w:val="39"/>
        </w:numPr>
      </w:pPr>
      <w:r w:rsidRPr="008737AB">
        <w:t>Disciplinary decisions, breach registers, and relevant correspondence</w:t>
      </w:r>
    </w:p>
    <w:p w14:paraId="487C2B85" w14:textId="77777777" w:rsidR="008737AB" w:rsidRPr="008737AB" w:rsidRDefault="008737AB" w:rsidP="008737AB">
      <w:pPr>
        <w:numPr>
          <w:ilvl w:val="0"/>
          <w:numId w:val="39"/>
        </w:numPr>
      </w:pPr>
      <w:r w:rsidRPr="008737AB">
        <w:t>Fit and Proper assessments and annual declarations</w:t>
      </w:r>
    </w:p>
    <w:p w14:paraId="5E9E7132" w14:textId="77777777" w:rsidR="008737AB" w:rsidRDefault="008737AB" w:rsidP="008737AB">
      <w:pPr>
        <w:numPr>
          <w:ilvl w:val="0"/>
          <w:numId w:val="39"/>
        </w:numPr>
      </w:pPr>
      <w:r w:rsidRPr="008737AB">
        <w:t>Any requests for, or provision of, regulatory references</w:t>
      </w:r>
    </w:p>
    <w:p w14:paraId="7642BE80" w14:textId="77777777" w:rsidR="00286071" w:rsidRPr="008737AB" w:rsidRDefault="00286071" w:rsidP="00286071">
      <w:pPr>
        <w:ind w:left="720"/>
      </w:pPr>
    </w:p>
    <w:p w14:paraId="4B9956C0" w14:textId="6D2DF73A" w:rsidR="008737AB" w:rsidRPr="008737AB" w:rsidRDefault="008737AB" w:rsidP="008737AB">
      <w:r w:rsidRPr="008737AB">
        <w:t>All records</w:t>
      </w:r>
      <w:r w:rsidR="00286071">
        <w:t xml:space="preserve"> </w:t>
      </w:r>
      <w:proofErr w:type="gramStart"/>
      <w:r w:rsidR="00286071">
        <w:t>are</w:t>
      </w:r>
      <w:r w:rsidRPr="008737AB">
        <w:t xml:space="preserve"> stored</w:t>
      </w:r>
      <w:proofErr w:type="gramEnd"/>
      <w:r w:rsidRPr="008737AB">
        <w:t xml:space="preserve"> securely, remain accessible for audit or regulatory review, and</w:t>
      </w:r>
      <w:r w:rsidR="00286071">
        <w:t xml:space="preserve"> will</w:t>
      </w:r>
      <w:r w:rsidRPr="008737AB">
        <w:t xml:space="preserve"> </w:t>
      </w:r>
      <w:proofErr w:type="gramStart"/>
      <w:r w:rsidRPr="008737AB">
        <w:t>be protected</w:t>
      </w:r>
      <w:proofErr w:type="gramEnd"/>
      <w:r w:rsidRPr="008737AB">
        <w:t xml:space="preserve"> in line with the firm’s data protection policies.</w:t>
      </w:r>
    </w:p>
    <w:p w14:paraId="06AD6D3A" w14:textId="77777777" w:rsidR="00337A3F" w:rsidRPr="000F487F" w:rsidRDefault="00337A3F" w:rsidP="00337A3F">
      <w:pPr>
        <w:pStyle w:val="Heading1"/>
        <w:rPr>
          <w:color w:val="auto"/>
        </w:rPr>
      </w:pPr>
      <w:bookmarkStart w:id="27" w:name="_Toc199838639"/>
      <w:r w:rsidRPr="000F487F">
        <w:rPr>
          <w:color w:val="auto"/>
        </w:rPr>
        <w:t>Return from Absence</w:t>
      </w:r>
      <w:bookmarkEnd w:id="27"/>
    </w:p>
    <w:p w14:paraId="4643F8C0" w14:textId="18ABFE93" w:rsidR="00337A3F" w:rsidRDefault="00337A3F" w:rsidP="00337A3F">
      <w:pPr>
        <w:spacing w:before="240"/>
        <w:rPr>
          <w:rFonts w:cs="Open Sans"/>
        </w:rPr>
      </w:pPr>
      <w:r>
        <w:rPr>
          <w:rFonts w:cs="Open Sans"/>
          <w:color w:val="FF0000"/>
        </w:rPr>
        <w:t>[</w:t>
      </w:r>
      <w:r w:rsidRPr="00B444F7">
        <w:rPr>
          <w:rFonts w:cs="Open Sans"/>
          <w:color w:val="FF0000"/>
        </w:rPr>
        <w:t>N</w:t>
      </w:r>
      <w:r>
        <w:rPr>
          <w:rFonts w:cs="Open Sans"/>
          <w:color w:val="FF0000"/>
        </w:rPr>
        <w:t>ame]</w:t>
      </w:r>
      <w:r>
        <w:rPr>
          <w:rFonts w:cs="Open Sans"/>
        </w:rPr>
        <w:t xml:space="preserve"> will consider an individual’s competence when completing Return to Work interviews with their team members</w:t>
      </w:r>
      <w:proofErr w:type="gramStart"/>
      <w:r>
        <w:rPr>
          <w:rFonts w:cs="Open Sans"/>
        </w:rPr>
        <w:t xml:space="preserve">.  </w:t>
      </w:r>
      <w:proofErr w:type="gramEnd"/>
      <w:r>
        <w:rPr>
          <w:rFonts w:cs="Open Sans"/>
        </w:rPr>
        <w:t xml:space="preserve">What action needs to </w:t>
      </w:r>
      <w:proofErr w:type="gramStart"/>
      <w:r>
        <w:rPr>
          <w:rFonts w:cs="Open Sans"/>
        </w:rPr>
        <w:t>be taken</w:t>
      </w:r>
      <w:proofErr w:type="gramEnd"/>
      <w:r>
        <w:rPr>
          <w:rFonts w:cs="Open Sans"/>
        </w:rPr>
        <w:t xml:space="preserve"> should </w:t>
      </w:r>
      <w:proofErr w:type="gramStart"/>
      <w:r>
        <w:rPr>
          <w:rFonts w:cs="Open Sans"/>
        </w:rPr>
        <w:t>be agreed</w:t>
      </w:r>
      <w:proofErr w:type="gramEnd"/>
      <w:r>
        <w:rPr>
          <w:rFonts w:cs="Open Sans"/>
        </w:rPr>
        <w:t xml:space="preserve"> on coaching records using the following guidelines:</w:t>
      </w:r>
    </w:p>
    <w:p w14:paraId="38AABDCF" w14:textId="77777777" w:rsidR="00337A3F" w:rsidRDefault="00337A3F" w:rsidP="00337A3F">
      <w:pPr>
        <w:spacing w:before="240"/>
        <w:rPr>
          <w:rFonts w:cs="Open Sans"/>
        </w:rPr>
      </w:pPr>
      <w:r w:rsidRPr="00337A3F">
        <w:rPr>
          <w:rFonts w:cs="Open Sans"/>
          <w:b/>
          <w:bCs/>
        </w:rPr>
        <w:lastRenderedPageBreak/>
        <w:t>Short term absence (0-1 months):</w:t>
      </w:r>
      <w:r>
        <w:rPr>
          <w:rFonts w:cs="Open Sans"/>
        </w:rPr>
        <w:t xml:space="preserve"> knowledge and skill are likely to be at pre-absence </w:t>
      </w:r>
      <w:proofErr w:type="gramStart"/>
      <w:r>
        <w:rPr>
          <w:rFonts w:cs="Open Sans"/>
        </w:rPr>
        <w:t>levels,</w:t>
      </w:r>
      <w:proofErr w:type="gramEnd"/>
      <w:r>
        <w:rPr>
          <w:rFonts w:cs="Open Sans"/>
        </w:rPr>
        <w:t xml:space="preserve"> colleagues should know about any changes at return to work.</w:t>
      </w:r>
    </w:p>
    <w:p w14:paraId="094082CC" w14:textId="545E724D" w:rsidR="00337A3F" w:rsidRDefault="00337A3F" w:rsidP="00337A3F">
      <w:pPr>
        <w:spacing w:before="240"/>
        <w:rPr>
          <w:rFonts w:cs="Open Sans"/>
        </w:rPr>
      </w:pPr>
      <w:r w:rsidRPr="00337A3F">
        <w:rPr>
          <w:rFonts w:cs="Open Sans"/>
          <w:b/>
          <w:bCs/>
        </w:rPr>
        <w:t>Medium term absence (1 – 6 months):</w:t>
      </w:r>
      <w:r>
        <w:rPr>
          <w:rFonts w:cs="Open Sans"/>
        </w:rPr>
        <w:t xml:space="preserve"> training may </w:t>
      </w:r>
      <w:proofErr w:type="gramStart"/>
      <w:r>
        <w:rPr>
          <w:rFonts w:cs="Open Sans"/>
        </w:rPr>
        <w:t>be required</w:t>
      </w:r>
      <w:proofErr w:type="gramEnd"/>
      <w:r>
        <w:rPr>
          <w:rFonts w:cs="Open Sans"/>
        </w:rPr>
        <w:t xml:space="preserve"> on </w:t>
      </w:r>
      <w:proofErr w:type="gramStart"/>
      <w:r>
        <w:rPr>
          <w:rFonts w:cs="Open Sans"/>
        </w:rPr>
        <w:t>some</w:t>
      </w:r>
      <w:proofErr w:type="gramEnd"/>
      <w:r>
        <w:rPr>
          <w:rFonts w:cs="Open Sans"/>
        </w:rPr>
        <w:t xml:space="preserve"> areas of knowledge and skill, formal record of any training retained on one to one review forms and additional monitoring expected.</w:t>
      </w:r>
    </w:p>
    <w:p w14:paraId="0AE6825C" w14:textId="77777777" w:rsidR="00337A3F" w:rsidRDefault="00337A3F" w:rsidP="00337A3F">
      <w:pPr>
        <w:spacing w:before="240"/>
        <w:rPr>
          <w:rFonts w:cs="Open Sans"/>
        </w:rPr>
      </w:pPr>
      <w:r w:rsidRPr="00337A3F">
        <w:rPr>
          <w:rFonts w:cs="Open Sans"/>
          <w:b/>
          <w:bCs/>
        </w:rPr>
        <w:t>Long term absence (over 6 months):</w:t>
      </w:r>
      <w:r>
        <w:rPr>
          <w:rFonts w:cs="Open Sans"/>
        </w:rPr>
        <w:t xml:space="preserve"> no longer hold Competence, retraining required, consideration given to close supervision outlined in trainee activity section.</w:t>
      </w:r>
    </w:p>
    <w:p w14:paraId="00E57CEF" w14:textId="475F72EE" w:rsidR="008A59C8" w:rsidRPr="005E5C53" w:rsidRDefault="008A59C8" w:rsidP="005E5C53">
      <w:pPr>
        <w:sectPr w:rsidR="008A59C8" w:rsidRPr="005E5C53" w:rsidSect="00D32A79">
          <w:footerReference w:type="default" r:id="rId13"/>
          <w:pgSz w:w="11906" w:h="16838"/>
          <w:pgMar w:top="1440" w:right="1440" w:bottom="1440" w:left="1440" w:header="709" w:footer="709" w:gutter="0"/>
          <w:cols w:space="708"/>
          <w:docGrid w:linePitch="360"/>
        </w:sectPr>
      </w:pPr>
    </w:p>
    <w:p w14:paraId="7EF67B77" w14:textId="77777777" w:rsidR="00D32A79" w:rsidRPr="000F487F" w:rsidRDefault="00D32A79" w:rsidP="00D32A79">
      <w:pPr>
        <w:pStyle w:val="Heading1"/>
        <w:rPr>
          <w:color w:val="auto"/>
        </w:rPr>
      </w:pPr>
      <w:bookmarkStart w:id="28" w:name="_Toc199838640"/>
      <w:r w:rsidRPr="000F487F">
        <w:rPr>
          <w:color w:val="auto"/>
        </w:rPr>
        <w:lastRenderedPageBreak/>
        <w:t>IFA – Trainee Activity &amp; Timescales</w:t>
      </w:r>
      <w:bookmarkEnd w:id="28"/>
    </w:p>
    <w:p w14:paraId="50EB8F99" w14:textId="77777777" w:rsidR="00D32A79" w:rsidRPr="000F7B6E" w:rsidRDefault="00D32A79" w:rsidP="00D32A79"/>
    <w:tbl>
      <w:tblPr>
        <w:tblStyle w:val="TableGrid"/>
        <w:tblW w:w="0" w:type="auto"/>
        <w:tblLook w:val="04A0" w:firstRow="1" w:lastRow="0" w:firstColumn="1" w:lastColumn="0" w:noHBand="0" w:noVBand="1"/>
      </w:tblPr>
      <w:tblGrid>
        <w:gridCol w:w="2830"/>
        <w:gridCol w:w="4253"/>
        <w:gridCol w:w="4394"/>
        <w:gridCol w:w="2471"/>
      </w:tblGrid>
      <w:tr w:rsidR="00D32A79" w:rsidRPr="00223258" w14:paraId="0F5F93A8" w14:textId="77777777" w:rsidTr="000F487F">
        <w:tc>
          <w:tcPr>
            <w:tcW w:w="2830" w:type="dxa"/>
            <w:shd w:val="clear" w:color="auto" w:fill="000000" w:themeFill="text1"/>
          </w:tcPr>
          <w:p w14:paraId="77F0C043" w14:textId="77777777" w:rsidR="00D32A79" w:rsidRPr="00223258" w:rsidRDefault="00D32A79" w:rsidP="00FD693C">
            <w:pPr>
              <w:rPr>
                <w:rFonts w:cs="Open Sans"/>
                <w:b/>
              </w:rPr>
            </w:pPr>
            <w:r w:rsidRPr="00223258">
              <w:rPr>
                <w:rFonts w:cs="Open Sans"/>
                <w:b/>
              </w:rPr>
              <w:t>Activity</w:t>
            </w:r>
          </w:p>
        </w:tc>
        <w:tc>
          <w:tcPr>
            <w:tcW w:w="4253" w:type="dxa"/>
            <w:shd w:val="clear" w:color="auto" w:fill="000000" w:themeFill="text1"/>
          </w:tcPr>
          <w:p w14:paraId="6A0CC8D1" w14:textId="09D9201E" w:rsidR="00D32A79" w:rsidRPr="00223258" w:rsidRDefault="00C8574D" w:rsidP="00FD693C">
            <w:pPr>
              <w:rPr>
                <w:rFonts w:cs="Open Sans"/>
                <w:b/>
              </w:rPr>
            </w:pPr>
            <w:r>
              <w:rPr>
                <w:rFonts w:cs="Open Sans"/>
                <w:b/>
              </w:rPr>
              <w:t>Objective</w:t>
            </w:r>
          </w:p>
        </w:tc>
        <w:tc>
          <w:tcPr>
            <w:tcW w:w="4394" w:type="dxa"/>
            <w:shd w:val="clear" w:color="auto" w:fill="000000" w:themeFill="text1"/>
          </w:tcPr>
          <w:p w14:paraId="0780EB25" w14:textId="77777777" w:rsidR="00D32A79" w:rsidRPr="00223258" w:rsidRDefault="00D32A79" w:rsidP="00FD693C">
            <w:pPr>
              <w:rPr>
                <w:rFonts w:cs="Open Sans"/>
                <w:b/>
              </w:rPr>
            </w:pPr>
            <w:r w:rsidRPr="00223258">
              <w:rPr>
                <w:rFonts w:cs="Open Sans"/>
                <w:b/>
              </w:rPr>
              <w:t>Evidenced By</w:t>
            </w:r>
          </w:p>
        </w:tc>
        <w:tc>
          <w:tcPr>
            <w:tcW w:w="2471" w:type="dxa"/>
            <w:shd w:val="clear" w:color="auto" w:fill="000000" w:themeFill="text1"/>
          </w:tcPr>
          <w:p w14:paraId="77C9AF86" w14:textId="41EECD43" w:rsidR="00D32A79" w:rsidRPr="00223258" w:rsidRDefault="00BF77F9" w:rsidP="00FD693C">
            <w:pPr>
              <w:rPr>
                <w:rFonts w:cs="Open Sans"/>
                <w:b/>
              </w:rPr>
            </w:pPr>
            <w:r>
              <w:rPr>
                <w:rFonts w:cs="Open Sans"/>
                <w:b/>
              </w:rPr>
              <w:t>Expected T</w:t>
            </w:r>
            <w:r w:rsidR="00D32A79" w:rsidRPr="00223258">
              <w:rPr>
                <w:rFonts w:cs="Open Sans"/>
                <w:b/>
              </w:rPr>
              <w:t>imescale</w:t>
            </w:r>
          </w:p>
        </w:tc>
      </w:tr>
      <w:tr w:rsidR="00D32A79" w:rsidRPr="00223258" w14:paraId="15240FDE" w14:textId="77777777" w:rsidTr="000F487F">
        <w:tc>
          <w:tcPr>
            <w:tcW w:w="2830" w:type="dxa"/>
            <w:shd w:val="clear" w:color="auto" w:fill="D1D1D1" w:themeFill="background2" w:themeFillShade="E6"/>
            <w:vAlign w:val="center"/>
          </w:tcPr>
          <w:p w14:paraId="60B03DC4" w14:textId="165AD81D" w:rsidR="00D32A79" w:rsidRPr="00961878" w:rsidRDefault="002F22AA" w:rsidP="00FD693C">
            <w:pPr>
              <w:jc w:val="left"/>
              <w:rPr>
                <w:rFonts w:cs="Open Sans"/>
                <w:sz w:val="20"/>
                <w:szCs w:val="20"/>
              </w:rPr>
            </w:pPr>
            <w:r>
              <w:rPr>
                <w:rFonts w:cs="Open Sans"/>
                <w:sz w:val="20"/>
                <w:szCs w:val="20"/>
              </w:rPr>
              <w:t>Induction</w:t>
            </w:r>
          </w:p>
        </w:tc>
        <w:tc>
          <w:tcPr>
            <w:tcW w:w="4253" w:type="dxa"/>
            <w:vAlign w:val="center"/>
          </w:tcPr>
          <w:p w14:paraId="4943E628" w14:textId="14173623" w:rsidR="00D32A79" w:rsidRPr="00961878" w:rsidRDefault="0030689D" w:rsidP="00FD693C">
            <w:pPr>
              <w:jc w:val="left"/>
              <w:rPr>
                <w:rFonts w:cs="Open Sans"/>
                <w:sz w:val="20"/>
                <w:szCs w:val="20"/>
              </w:rPr>
            </w:pPr>
            <w:r>
              <w:rPr>
                <w:sz w:val="20"/>
                <w:szCs w:val="20"/>
              </w:rPr>
              <w:t>T</w:t>
            </w:r>
            <w:r w:rsidRPr="00572FE1">
              <w:rPr>
                <w:sz w:val="20"/>
                <w:szCs w:val="20"/>
              </w:rPr>
              <w:t>o ensure individuals begin their role with a solid foundation of firm-specific knowledge, regulatory awareness, and practical understanding relevant to their responsibilities.</w:t>
            </w:r>
          </w:p>
        </w:tc>
        <w:tc>
          <w:tcPr>
            <w:tcW w:w="4394" w:type="dxa"/>
            <w:vAlign w:val="center"/>
          </w:tcPr>
          <w:p w14:paraId="00969FDE" w14:textId="289BF2A1" w:rsidR="00D32A79" w:rsidRPr="00961878" w:rsidRDefault="0049749A" w:rsidP="00FD693C">
            <w:pPr>
              <w:jc w:val="left"/>
              <w:rPr>
                <w:rFonts w:cs="Open Sans"/>
                <w:sz w:val="20"/>
                <w:szCs w:val="20"/>
              </w:rPr>
            </w:pPr>
            <w:r>
              <w:rPr>
                <w:rFonts w:cs="Open Sans"/>
                <w:sz w:val="20"/>
                <w:szCs w:val="20"/>
              </w:rPr>
              <w:t>The T&amp;C Workbook content will be comprehensively documented and learning</w:t>
            </w:r>
            <w:r w:rsidR="006F01B1">
              <w:rPr>
                <w:rFonts w:cs="Open Sans"/>
                <w:sz w:val="20"/>
                <w:szCs w:val="20"/>
              </w:rPr>
              <w:t>s evidenced</w:t>
            </w:r>
          </w:p>
        </w:tc>
        <w:tc>
          <w:tcPr>
            <w:tcW w:w="2471" w:type="dxa"/>
            <w:vAlign w:val="center"/>
          </w:tcPr>
          <w:p w14:paraId="2D7FA685" w14:textId="73DE3F32" w:rsidR="00D32A79" w:rsidRPr="00961878" w:rsidRDefault="002F22AA" w:rsidP="00FD693C">
            <w:pPr>
              <w:jc w:val="left"/>
              <w:rPr>
                <w:rFonts w:cs="Open Sans"/>
                <w:sz w:val="20"/>
                <w:szCs w:val="20"/>
              </w:rPr>
            </w:pPr>
            <w:r>
              <w:rPr>
                <w:rFonts w:cs="Open Sans"/>
                <w:sz w:val="20"/>
                <w:szCs w:val="20"/>
              </w:rPr>
              <w:t>2 – 3 weeks</w:t>
            </w:r>
          </w:p>
        </w:tc>
      </w:tr>
      <w:tr w:rsidR="00D32A79" w:rsidRPr="00223258" w14:paraId="5F1B9719" w14:textId="77777777" w:rsidTr="000F487F">
        <w:tc>
          <w:tcPr>
            <w:tcW w:w="2830" w:type="dxa"/>
            <w:shd w:val="clear" w:color="auto" w:fill="D1D1D1" w:themeFill="background2" w:themeFillShade="E6"/>
            <w:vAlign w:val="center"/>
          </w:tcPr>
          <w:p w14:paraId="23816492" w14:textId="7E05F99B" w:rsidR="00D32A79" w:rsidRPr="00961878" w:rsidRDefault="002F22AA" w:rsidP="00FD693C">
            <w:pPr>
              <w:jc w:val="left"/>
              <w:rPr>
                <w:rFonts w:cs="Open Sans"/>
                <w:sz w:val="20"/>
                <w:szCs w:val="20"/>
              </w:rPr>
            </w:pPr>
            <w:r>
              <w:rPr>
                <w:rFonts w:cs="Open Sans"/>
                <w:sz w:val="20"/>
                <w:szCs w:val="20"/>
              </w:rPr>
              <w:t>Attaining Competence</w:t>
            </w:r>
            <w:r w:rsidR="00B34798">
              <w:rPr>
                <w:rFonts w:cs="Open Sans"/>
                <w:sz w:val="20"/>
                <w:szCs w:val="20"/>
              </w:rPr>
              <w:t xml:space="preserve"> (AC)</w:t>
            </w:r>
          </w:p>
        </w:tc>
        <w:tc>
          <w:tcPr>
            <w:tcW w:w="4253" w:type="dxa"/>
            <w:vAlign w:val="center"/>
          </w:tcPr>
          <w:p w14:paraId="35FBF79D" w14:textId="361DB90E" w:rsidR="00D32A79" w:rsidRPr="00961878" w:rsidRDefault="00C8574D" w:rsidP="00FD693C">
            <w:pPr>
              <w:jc w:val="left"/>
              <w:rPr>
                <w:rFonts w:cs="Open Sans"/>
                <w:sz w:val="20"/>
                <w:szCs w:val="20"/>
              </w:rPr>
            </w:pPr>
            <w:r>
              <w:rPr>
                <w:sz w:val="20"/>
                <w:szCs w:val="20"/>
              </w:rPr>
              <w:t>T</w:t>
            </w:r>
            <w:r w:rsidR="001D55C2" w:rsidRPr="001B1477">
              <w:rPr>
                <w:sz w:val="20"/>
                <w:szCs w:val="20"/>
              </w:rPr>
              <w:t xml:space="preserve">o ensure that individuals </w:t>
            </w:r>
            <w:proofErr w:type="gramStart"/>
            <w:r w:rsidR="001D55C2" w:rsidRPr="001B1477">
              <w:rPr>
                <w:sz w:val="20"/>
                <w:szCs w:val="20"/>
              </w:rPr>
              <w:t>are able to</w:t>
            </w:r>
            <w:proofErr w:type="gramEnd"/>
            <w:r w:rsidR="001D55C2" w:rsidRPr="001B1477">
              <w:rPr>
                <w:sz w:val="20"/>
                <w:szCs w:val="20"/>
              </w:rPr>
              <w:t xml:space="preserve"> apply their knowledge and skills in a live advisory environment while receiving structured support, oversight, and feedback.</w:t>
            </w:r>
          </w:p>
        </w:tc>
        <w:tc>
          <w:tcPr>
            <w:tcW w:w="4394" w:type="dxa"/>
            <w:vAlign w:val="center"/>
          </w:tcPr>
          <w:p w14:paraId="1E571791" w14:textId="50765754" w:rsidR="00D32A79" w:rsidRPr="00961878" w:rsidRDefault="006F01B1" w:rsidP="00FD693C">
            <w:pPr>
              <w:jc w:val="left"/>
              <w:rPr>
                <w:rFonts w:cs="Open Sans"/>
                <w:sz w:val="20"/>
                <w:szCs w:val="20"/>
              </w:rPr>
            </w:pPr>
            <w:r>
              <w:rPr>
                <w:rFonts w:cs="Open Sans"/>
                <w:sz w:val="20"/>
                <w:szCs w:val="20"/>
              </w:rPr>
              <w:t xml:space="preserve">The T&amp;C Workbook will </w:t>
            </w:r>
            <w:r w:rsidR="002460F1">
              <w:rPr>
                <w:rFonts w:cs="Open Sans"/>
                <w:sz w:val="20"/>
                <w:szCs w:val="20"/>
              </w:rPr>
              <w:t>comprehensively document AC journey</w:t>
            </w:r>
            <w:proofErr w:type="gramStart"/>
            <w:r w:rsidR="002460F1">
              <w:rPr>
                <w:rFonts w:cs="Open Sans"/>
                <w:sz w:val="20"/>
                <w:szCs w:val="20"/>
              </w:rPr>
              <w:t xml:space="preserve">.  </w:t>
            </w:r>
            <w:proofErr w:type="gramEnd"/>
            <w:r w:rsidR="00AD6C41">
              <w:rPr>
                <w:rFonts w:cs="Open Sans"/>
                <w:sz w:val="20"/>
                <w:szCs w:val="20"/>
              </w:rPr>
              <w:t>KPI date</w:t>
            </w:r>
            <w:r w:rsidR="002460F1">
              <w:rPr>
                <w:rFonts w:cs="Open Sans"/>
                <w:sz w:val="20"/>
                <w:szCs w:val="20"/>
              </w:rPr>
              <w:t xml:space="preserve"> will be available </w:t>
            </w:r>
            <w:r w:rsidR="00732B06">
              <w:rPr>
                <w:rFonts w:cs="Open Sans"/>
                <w:sz w:val="20"/>
                <w:szCs w:val="20"/>
              </w:rPr>
              <w:t xml:space="preserve">(as listed in T&amp;C scheme </w:t>
            </w:r>
            <w:proofErr w:type="spellStart"/>
            <w:r w:rsidR="00732B06">
              <w:rPr>
                <w:rFonts w:cs="Open Sans"/>
                <w:sz w:val="20"/>
                <w:szCs w:val="20"/>
              </w:rPr>
              <w:t>pg</w:t>
            </w:r>
            <w:proofErr w:type="spellEnd"/>
            <w:r w:rsidR="00732B06">
              <w:rPr>
                <w:rFonts w:cs="Open Sans"/>
                <w:sz w:val="20"/>
                <w:szCs w:val="20"/>
              </w:rPr>
              <w:t xml:space="preserve"> 11). Skills &amp; knowledge at </w:t>
            </w:r>
            <w:proofErr w:type="gramStart"/>
            <w:r w:rsidR="00AA108D">
              <w:rPr>
                <w:rFonts w:cs="Open Sans"/>
                <w:sz w:val="20"/>
                <w:szCs w:val="20"/>
              </w:rPr>
              <w:t>good level</w:t>
            </w:r>
            <w:proofErr w:type="gramEnd"/>
            <w:r w:rsidR="002460F1">
              <w:rPr>
                <w:rFonts w:cs="Open Sans"/>
                <w:sz w:val="20"/>
                <w:szCs w:val="20"/>
              </w:rPr>
              <w:t xml:space="preserve"> </w:t>
            </w:r>
          </w:p>
        </w:tc>
        <w:tc>
          <w:tcPr>
            <w:tcW w:w="2471" w:type="dxa"/>
            <w:vAlign w:val="center"/>
          </w:tcPr>
          <w:p w14:paraId="0E2FE973" w14:textId="47FC09F7" w:rsidR="00D32A79" w:rsidRPr="00961878" w:rsidRDefault="00B34798" w:rsidP="00FD693C">
            <w:pPr>
              <w:jc w:val="left"/>
              <w:rPr>
                <w:rFonts w:cs="Open Sans"/>
                <w:sz w:val="20"/>
                <w:szCs w:val="20"/>
              </w:rPr>
            </w:pPr>
            <w:r>
              <w:rPr>
                <w:rFonts w:cs="Open Sans"/>
                <w:sz w:val="20"/>
                <w:szCs w:val="20"/>
              </w:rPr>
              <w:t>Within 18 months</w:t>
            </w:r>
          </w:p>
        </w:tc>
      </w:tr>
      <w:tr w:rsidR="00BC7268" w:rsidRPr="00223258" w14:paraId="74D5B855" w14:textId="77777777" w:rsidTr="000F487F">
        <w:tc>
          <w:tcPr>
            <w:tcW w:w="2830" w:type="dxa"/>
            <w:shd w:val="clear" w:color="auto" w:fill="000000" w:themeFill="text1"/>
            <w:vAlign w:val="center"/>
          </w:tcPr>
          <w:p w14:paraId="40808E5F" w14:textId="7176F57C" w:rsidR="00BC7268" w:rsidRPr="00C86D3E" w:rsidRDefault="00BC7268" w:rsidP="0016461C">
            <w:pPr>
              <w:jc w:val="left"/>
              <w:rPr>
                <w:rFonts w:cs="Open Sans"/>
                <w:b/>
                <w:bCs/>
                <w:sz w:val="20"/>
                <w:szCs w:val="20"/>
              </w:rPr>
            </w:pPr>
            <w:r>
              <w:rPr>
                <w:rFonts w:cs="Open Sans"/>
                <w:sz w:val="20"/>
                <w:szCs w:val="20"/>
              </w:rPr>
              <w:t xml:space="preserve">       </w:t>
            </w:r>
            <w:r w:rsidRPr="00C86D3E">
              <w:rPr>
                <w:rFonts w:cs="Open Sans"/>
                <w:b/>
                <w:bCs/>
                <w:sz w:val="20"/>
                <w:szCs w:val="20"/>
              </w:rPr>
              <w:t>Whilst in AC:</w:t>
            </w:r>
          </w:p>
        </w:tc>
        <w:tc>
          <w:tcPr>
            <w:tcW w:w="11118" w:type="dxa"/>
            <w:gridSpan w:val="3"/>
            <w:vAlign w:val="center"/>
          </w:tcPr>
          <w:p w14:paraId="2F1FDFB4" w14:textId="4899462C" w:rsidR="00BC7268" w:rsidRPr="00961878" w:rsidRDefault="00BC7268" w:rsidP="00FD693C">
            <w:pPr>
              <w:jc w:val="left"/>
              <w:rPr>
                <w:rFonts w:cs="Open Sans"/>
                <w:sz w:val="20"/>
                <w:szCs w:val="20"/>
              </w:rPr>
            </w:pPr>
          </w:p>
        </w:tc>
      </w:tr>
      <w:tr w:rsidR="00D32A79" w:rsidRPr="006E6BB9" w14:paraId="53AAA628" w14:textId="77777777" w:rsidTr="000F487F">
        <w:tc>
          <w:tcPr>
            <w:tcW w:w="2830" w:type="dxa"/>
            <w:shd w:val="clear" w:color="auto" w:fill="D1D1D1" w:themeFill="background2" w:themeFillShade="E6"/>
            <w:vAlign w:val="center"/>
          </w:tcPr>
          <w:p w14:paraId="460D7AB5" w14:textId="20492BD7" w:rsidR="00D32A79" w:rsidRPr="00961878" w:rsidRDefault="00053348" w:rsidP="00FD693C">
            <w:pPr>
              <w:jc w:val="left"/>
              <w:rPr>
                <w:rFonts w:cs="Open Sans"/>
                <w:sz w:val="20"/>
                <w:szCs w:val="20"/>
              </w:rPr>
            </w:pPr>
            <w:r>
              <w:rPr>
                <w:rFonts w:cs="Open Sans"/>
                <w:sz w:val="20"/>
                <w:szCs w:val="20"/>
              </w:rPr>
              <w:t xml:space="preserve">Enhanced </w:t>
            </w:r>
            <w:proofErr w:type="spellStart"/>
            <w:r>
              <w:rPr>
                <w:rFonts w:cs="Open Sans"/>
                <w:sz w:val="20"/>
                <w:szCs w:val="20"/>
              </w:rPr>
              <w:t>Supervison</w:t>
            </w:r>
            <w:proofErr w:type="spellEnd"/>
            <w:r w:rsidR="00E13E6A">
              <w:rPr>
                <w:rFonts w:cs="Open Sans"/>
                <w:sz w:val="20"/>
                <w:szCs w:val="20"/>
              </w:rPr>
              <w:t xml:space="preserve"> (1</w:t>
            </w:r>
            <w:r w:rsidR="00E13E6A" w:rsidRPr="00E13E6A">
              <w:rPr>
                <w:rFonts w:cs="Open Sans"/>
                <w:sz w:val="20"/>
                <w:szCs w:val="20"/>
                <w:vertAlign w:val="superscript"/>
              </w:rPr>
              <w:t>st</w:t>
            </w:r>
            <w:r w:rsidR="00E13E6A">
              <w:rPr>
                <w:rFonts w:cs="Open Sans"/>
                <w:sz w:val="20"/>
                <w:szCs w:val="20"/>
              </w:rPr>
              <w:t xml:space="preserve"> Stage)</w:t>
            </w:r>
          </w:p>
        </w:tc>
        <w:tc>
          <w:tcPr>
            <w:tcW w:w="4253" w:type="dxa"/>
            <w:vAlign w:val="center"/>
          </w:tcPr>
          <w:p w14:paraId="0E2945E7" w14:textId="3B97F883" w:rsidR="00D32A79" w:rsidRPr="00961878" w:rsidRDefault="0029095E" w:rsidP="00FD693C">
            <w:pPr>
              <w:jc w:val="left"/>
              <w:rPr>
                <w:rFonts w:cs="Open Sans"/>
                <w:sz w:val="20"/>
                <w:szCs w:val="20"/>
              </w:rPr>
            </w:pPr>
            <w:r>
              <w:rPr>
                <w:rFonts w:cs="Open Sans"/>
                <w:sz w:val="20"/>
                <w:szCs w:val="20"/>
              </w:rPr>
              <w:t>T</w:t>
            </w:r>
            <w:r w:rsidRPr="0029095E">
              <w:rPr>
                <w:rFonts w:cs="Open Sans"/>
                <w:sz w:val="20"/>
                <w:szCs w:val="20"/>
              </w:rPr>
              <w:t xml:space="preserve">o safeguard clients, the adviser, and the firm by ensuring that all advice </w:t>
            </w:r>
            <w:proofErr w:type="gramStart"/>
            <w:r w:rsidRPr="0029095E">
              <w:rPr>
                <w:rFonts w:cs="Open Sans"/>
                <w:sz w:val="20"/>
                <w:szCs w:val="20"/>
              </w:rPr>
              <w:t>is closely monitored</w:t>
            </w:r>
            <w:proofErr w:type="gramEnd"/>
            <w:r w:rsidRPr="0029095E">
              <w:rPr>
                <w:rFonts w:cs="Open Sans"/>
                <w:sz w:val="20"/>
                <w:szCs w:val="20"/>
              </w:rPr>
              <w:t xml:space="preserve"> during the </w:t>
            </w:r>
            <w:proofErr w:type="gramStart"/>
            <w:r w:rsidRPr="0029095E">
              <w:rPr>
                <w:rFonts w:cs="Open Sans"/>
                <w:sz w:val="20"/>
                <w:szCs w:val="20"/>
              </w:rPr>
              <w:t>early stages</w:t>
            </w:r>
            <w:proofErr w:type="gramEnd"/>
            <w:r w:rsidRPr="0029095E">
              <w:rPr>
                <w:rFonts w:cs="Open Sans"/>
                <w:sz w:val="20"/>
                <w:szCs w:val="20"/>
              </w:rPr>
              <w:t xml:space="preserve"> of an adviser’s development.</w:t>
            </w:r>
          </w:p>
        </w:tc>
        <w:tc>
          <w:tcPr>
            <w:tcW w:w="4394" w:type="dxa"/>
            <w:vAlign w:val="center"/>
          </w:tcPr>
          <w:p w14:paraId="66EE020E" w14:textId="7B20E0A0" w:rsidR="00D32A79" w:rsidRDefault="00D40837" w:rsidP="00FD693C">
            <w:pPr>
              <w:jc w:val="left"/>
              <w:rPr>
                <w:rFonts w:cs="Open Sans"/>
                <w:sz w:val="20"/>
                <w:szCs w:val="20"/>
              </w:rPr>
            </w:pPr>
            <w:r>
              <w:rPr>
                <w:rFonts w:cs="Open Sans"/>
                <w:sz w:val="20"/>
                <w:szCs w:val="20"/>
              </w:rPr>
              <w:t>First</w:t>
            </w:r>
            <w:r w:rsidR="006E6BB9">
              <w:rPr>
                <w:rFonts w:cs="Open Sans"/>
                <w:sz w:val="20"/>
                <w:szCs w:val="20"/>
              </w:rPr>
              <w:t xml:space="preserve"> </w:t>
            </w:r>
            <w:r w:rsidR="004E1A8A">
              <w:rPr>
                <w:rFonts w:cs="Open Sans"/>
                <w:sz w:val="20"/>
                <w:szCs w:val="20"/>
              </w:rPr>
              <w:t>3 Fact find</w:t>
            </w:r>
            <w:r w:rsidR="000176EA">
              <w:rPr>
                <w:rFonts w:cs="Open Sans"/>
                <w:sz w:val="20"/>
                <w:szCs w:val="20"/>
              </w:rPr>
              <w:t xml:space="preserve"> </w:t>
            </w:r>
            <w:r w:rsidR="00BF77F9">
              <w:rPr>
                <w:rFonts w:cs="Open Sans"/>
                <w:sz w:val="20"/>
                <w:szCs w:val="20"/>
              </w:rPr>
              <w:t>meeti</w:t>
            </w:r>
            <w:r>
              <w:rPr>
                <w:rFonts w:cs="Open Sans"/>
                <w:sz w:val="20"/>
                <w:szCs w:val="20"/>
              </w:rPr>
              <w:t xml:space="preserve">ngs observed </w:t>
            </w:r>
            <w:r w:rsidR="000176EA">
              <w:rPr>
                <w:rFonts w:cs="Open Sans"/>
                <w:sz w:val="20"/>
                <w:szCs w:val="20"/>
              </w:rPr>
              <w:t>(min)</w:t>
            </w:r>
          </w:p>
          <w:p w14:paraId="05474FC2" w14:textId="401DDF39" w:rsidR="004E1A8A" w:rsidRDefault="006E6BB9" w:rsidP="00FD693C">
            <w:pPr>
              <w:jc w:val="left"/>
              <w:rPr>
                <w:rFonts w:cs="Open Sans"/>
                <w:sz w:val="20"/>
                <w:szCs w:val="20"/>
              </w:rPr>
            </w:pPr>
            <w:r>
              <w:rPr>
                <w:rFonts w:cs="Open Sans"/>
                <w:sz w:val="20"/>
                <w:szCs w:val="20"/>
              </w:rPr>
              <w:t xml:space="preserve">First </w:t>
            </w:r>
            <w:r w:rsidR="004E1A8A">
              <w:rPr>
                <w:rFonts w:cs="Open Sans"/>
                <w:sz w:val="20"/>
                <w:szCs w:val="20"/>
              </w:rPr>
              <w:t>3 Presentation</w:t>
            </w:r>
            <w:r w:rsidR="00435F2F">
              <w:rPr>
                <w:rFonts w:cs="Open Sans"/>
                <w:sz w:val="20"/>
                <w:szCs w:val="20"/>
              </w:rPr>
              <w:t xml:space="preserve"> meetings observed</w:t>
            </w:r>
            <w:r w:rsidR="000176EA">
              <w:rPr>
                <w:rFonts w:cs="Open Sans"/>
                <w:sz w:val="20"/>
                <w:szCs w:val="20"/>
              </w:rPr>
              <w:t xml:space="preserve"> (min)</w:t>
            </w:r>
          </w:p>
          <w:p w14:paraId="2FD27921" w14:textId="77777777" w:rsidR="00E13E6A" w:rsidRDefault="00E13E6A" w:rsidP="00FD693C">
            <w:pPr>
              <w:jc w:val="left"/>
              <w:rPr>
                <w:rFonts w:cs="Open Sans"/>
                <w:sz w:val="20"/>
                <w:szCs w:val="20"/>
              </w:rPr>
            </w:pPr>
            <w:r w:rsidRPr="006E6BB9">
              <w:rPr>
                <w:rFonts w:cs="Open Sans"/>
                <w:sz w:val="20"/>
                <w:szCs w:val="20"/>
              </w:rPr>
              <w:t xml:space="preserve">100% Pre &amp; Post sale </w:t>
            </w:r>
            <w:r w:rsidR="006E6BB9" w:rsidRPr="006E6BB9">
              <w:rPr>
                <w:rFonts w:cs="Open Sans"/>
                <w:sz w:val="20"/>
                <w:szCs w:val="20"/>
              </w:rPr>
              <w:t>file checks</w:t>
            </w:r>
          </w:p>
          <w:p w14:paraId="606B61B8" w14:textId="230408C8" w:rsidR="00BA3C4D" w:rsidRPr="006E6BB9" w:rsidRDefault="00C343ED" w:rsidP="00FD693C">
            <w:pPr>
              <w:jc w:val="left"/>
              <w:rPr>
                <w:rFonts w:cs="Open Sans"/>
                <w:sz w:val="20"/>
                <w:szCs w:val="20"/>
              </w:rPr>
            </w:pPr>
            <w:r>
              <w:rPr>
                <w:rFonts w:cs="Open Sans"/>
                <w:sz w:val="20"/>
                <w:szCs w:val="20"/>
              </w:rPr>
              <w:t xml:space="preserve">T&amp;C Workbook &amp; </w:t>
            </w:r>
            <w:r w:rsidR="00BA3C4D">
              <w:rPr>
                <w:rFonts w:cs="Open Sans"/>
                <w:sz w:val="20"/>
                <w:szCs w:val="20"/>
              </w:rPr>
              <w:t>Active TNA &amp; PDP</w:t>
            </w:r>
          </w:p>
        </w:tc>
        <w:tc>
          <w:tcPr>
            <w:tcW w:w="2471" w:type="dxa"/>
            <w:vAlign w:val="center"/>
          </w:tcPr>
          <w:p w14:paraId="1290AF88" w14:textId="617F799E" w:rsidR="00D32A79" w:rsidRPr="006E6BB9" w:rsidRDefault="00970563" w:rsidP="00FD693C">
            <w:pPr>
              <w:jc w:val="left"/>
              <w:rPr>
                <w:rFonts w:cs="Open Sans"/>
                <w:sz w:val="20"/>
                <w:szCs w:val="20"/>
              </w:rPr>
            </w:pPr>
            <w:r>
              <w:rPr>
                <w:rFonts w:cs="Open Sans"/>
                <w:sz w:val="20"/>
                <w:szCs w:val="20"/>
              </w:rPr>
              <w:t>2 months</w:t>
            </w:r>
          </w:p>
        </w:tc>
      </w:tr>
      <w:tr w:rsidR="00D32A79" w:rsidRPr="006E6BB9" w14:paraId="220F5663" w14:textId="77777777" w:rsidTr="000F487F">
        <w:tc>
          <w:tcPr>
            <w:tcW w:w="2830" w:type="dxa"/>
            <w:shd w:val="clear" w:color="auto" w:fill="D1D1D1" w:themeFill="background2" w:themeFillShade="E6"/>
            <w:vAlign w:val="center"/>
          </w:tcPr>
          <w:p w14:paraId="54B53DBF" w14:textId="087079AF" w:rsidR="00D32A79" w:rsidRPr="006E6BB9" w:rsidRDefault="002F3352" w:rsidP="00FD693C">
            <w:pPr>
              <w:jc w:val="left"/>
              <w:rPr>
                <w:rFonts w:cs="Open Sans"/>
                <w:sz w:val="20"/>
                <w:szCs w:val="20"/>
                <w:lang w:val="fr-FR"/>
              </w:rPr>
            </w:pPr>
            <w:proofErr w:type="spellStart"/>
            <w:r>
              <w:rPr>
                <w:rFonts w:cs="Open Sans"/>
                <w:sz w:val="20"/>
                <w:szCs w:val="20"/>
                <w:lang w:val="fr-FR"/>
              </w:rPr>
              <w:t>Enhanced</w:t>
            </w:r>
            <w:proofErr w:type="spellEnd"/>
            <w:r>
              <w:rPr>
                <w:rFonts w:cs="Open Sans"/>
                <w:sz w:val="20"/>
                <w:szCs w:val="20"/>
                <w:lang w:val="fr-FR"/>
              </w:rPr>
              <w:t xml:space="preserve"> Supervision (2</w:t>
            </w:r>
            <w:r w:rsidRPr="002F3352">
              <w:rPr>
                <w:rFonts w:cs="Open Sans"/>
                <w:sz w:val="20"/>
                <w:szCs w:val="20"/>
                <w:vertAlign w:val="superscript"/>
                <w:lang w:val="fr-FR"/>
              </w:rPr>
              <w:t>nd</w:t>
            </w:r>
            <w:r>
              <w:rPr>
                <w:rFonts w:cs="Open Sans"/>
                <w:sz w:val="20"/>
                <w:szCs w:val="20"/>
                <w:lang w:val="fr-FR"/>
              </w:rPr>
              <w:t xml:space="preserve"> Stage)</w:t>
            </w:r>
          </w:p>
        </w:tc>
        <w:tc>
          <w:tcPr>
            <w:tcW w:w="4253" w:type="dxa"/>
            <w:vAlign w:val="center"/>
          </w:tcPr>
          <w:p w14:paraId="480EB3D5" w14:textId="67011445" w:rsidR="00D32A79" w:rsidRPr="00B13165" w:rsidRDefault="00B13165" w:rsidP="00FD693C">
            <w:pPr>
              <w:jc w:val="left"/>
              <w:rPr>
                <w:rFonts w:cs="Open Sans"/>
                <w:sz w:val="20"/>
                <w:szCs w:val="20"/>
              </w:rPr>
            </w:pPr>
            <w:r w:rsidRPr="00B13165">
              <w:rPr>
                <w:rFonts w:cs="Open Sans"/>
                <w:sz w:val="20"/>
                <w:szCs w:val="20"/>
              </w:rPr>
              <w:t>T</w:t>
            </w:r>
            <w:r w:rsidR="00687AD5">
              <w:rPr>
                <w:rFonts w:cs="Open Sans"/>
                <w:sz w:val="20"/>
                <w:szCs w:val="20"/>
              </w:rPr>
              <w:t>o</w:t>
            </w:r>
            <w:r w:rsidRPr="00B13165">
              <w:rPr>
                <w:rFonts w:cs="Open Sans"/>
                <w:sz w:val="20"/>
                <w:szCs w:val="20"/>
              </w:rPr>
              <w:t xml:space="preserve"> support increased independence, while still ensuring that advice standards remain consistently high and any development needs </w:t>
            </w:r>
            <w:proofErr w:type="gramStart"/>
            <w:r w:rsidRPr="00B13165">
              <w:rPr>
                <w:rFonts w:cs="Open Sans"/>
                <w:sz w:val="20"/>
                <w:szCs w:val="20"/>
              </w:rPr>
              <w:t>are promptly identified</w:t>
            </w:r>
            <w:proofErr w:type="gramEnd"/>
            <w:r w:rsidRPr="00B13165">
              <w:rPr>
                <w:rFonts w:cs="Open Sans"/>
                <w:sz w:val="20"/>
                <w:szCs w:val="20"/>
              </w:rPr>
              <w:t xml:space="preserve"> and addressed during this transitional phase</w:t>
            </w:r>
            <w:r w:rsidR="00AA108D">
              <w:rPr>
                <w:rFonts w:cs="Open Sans"/>
                <w:sz w:val="20"/>
                <w:szCs w:val="20"/>
              </w:rPr>
              <w:t>.</w:t>
            </w:r>
          </w:p>
        </w:tc>
        <w:tc>
          <w:tcPr>
            <w:tcW w:w="4394" w:type="dxa"/>
            <w:vAlign w:val="center"/>
          </w:tcPr>
          <w:p w14:paraId="3424F062" w14:textId="77777777" w:rsidR="00AB63B5" w:rsidRDefault="00B5105B" w:rsidP="00FD693C">
            <w:pPr>
              <w:jc w:val="left"/>
              <w:rPr>
                <w:rFonts w:cs="Open Sans"/>
                <w:sz w:val="20"/>
                <w:szCs w:val="20"/>
              </w:rPr>
            </w:pPr>
            <w:r>
              <w:rPr>
                <w:rFonts w:cs="Open Sans"/>
                <w:sz w:val="20"/>
                <w:szCs w:val="20"/>
              </w:rPr>
              <w:t xml:space="preserve">Unaccompanied client visits </w:t>
            </w:r>
          </w:p>
          <w:p w14:paraId="6E4FC314" w14:textId="77777777" w:rsidR="00ED5312" w:rsidRDefault="00625C53" w:rsidP="00FD693C">
            <w:pPr>
              <w:jc w:val="left"/>
              <w:rPr>
                <w:rFonts w:cs="Open Sans"/>
                <w:sz w:val="20"/>
                <w:szCs w:val="20"/>
              </w:rPr>
            </w:pPr>
            <w:r w:rsidRPr="00ED5312">
              <w:rPr>
                <w:rFonts w:cs="Open Sans"/>
                <w:sz w:val="20"/>
                <w:szCs w:val="20"/>
              </w:rPr>
              <w:t xml:space="preserve">First </w:t>
            </w:r>
            <w:proofErr w:type="gramStart"/>
            <w:r w:rsidRPr="00ED5312">
              <w:rPr>
                <w:rFonts w:cs="Open Sans"/>
                <w:sz w:val="20"/>
                <w:szCs w:val="20"/>
              </w:rPr>
              <w:t>10</w:t>
            </w:r>
            <w:proofErr w:type="gramEnd"/>
            <w:r w:rsidRPr="00ED5312">
              <w:rPr>
                <w:rFonts w:cs="Open Sans"/>
                <w:sz w:val="20"/>
                <w:szCs w:val="20"/>
              </w:rPr>
              <w:t xml:space="preserve"> cases Pre &amp; Post</w:t>
            </w:r>
            <w:r w:rsidR="00ED5312" w:rsidRPr="00ED5312">
              <w:rPr>
                <w:rFonts w:cs="Open Sans"/>
                <w:sz w:val="20"/>
                <w:szCs w:val="20"/>
              </w:rPr>
              <w:t xml:space="preserve"> r</w:t>
            </w:r>
            <w:r w:rsidR="00ED5312">
              <w:rPr>
                <w:rFonts w:cs="Open Sans"/>
                <w:sz w:val="20"/>
                <w:szCs w:val="20"/>
              </w:rPr>
              <w:t>eviewed</w:t>
            </w:r>
          </w:p>
          <w:p w14:paraId="434E7E6E" w14:textId="77777777" w:rsidR="00417CDE" w:rsidRDefault="00A36395" w:rsidP="00FD693C">
            <w:pPr>
              <w:jc w:val="left"/>
              <w:rPr>
                <w:rFonts w:cs="Open Sans"/>
                <w:sz w:val="20"/>
                <w:szCs w:val="20"/>
              </w:rPr>
            </w:pPr>
            <w:r>
              <w:rPr>
                <w:rFonts w:cs="Open Sans"/>
                <w:sz w:val="20"/>
                <w:szCs w:val="20"/>
              </w:rPr>
              <w:t>Active TNA &amp; PDP</w:t>
            </w:r>
          </w:p>
          <w:p w14:paraId="7715DE59" w14:textId="5119269A" w:rsidR="00C343ED" w:rsidRPr="00ED5312" w:rsidRDefault="00F150E8" w:rsidP="00FD693C">
            <w:pPr>
              <w:jc w:val="left"/>
              <w:rPr>
                <w:rFonts w:cs="Open Sans"/>
                <w:sz w:val="20"/>
                <w:szCs w:val="20"/>
              </w:rPr>
            </w:pPr>
            <w:r>
              <w:rPr>
                <w:rFonts w:cs="Open Sans"/>
                <w:sz w:val="20"/>
                <w:szCs w:val="20"/>
              </w:rPr>
              <w:t>T&amp;C Workbook as monitoring reduces</w:t>
            </w:r>
          </w:p>
        </w:tc>
        <w:tc>
          <w:tcPr>
            <w:tcW w:w="2471" w:type="dxa"/>
            <w:vAlign w:val="center"/>
          </w:tcPr>
          <w:p w14:paraId="1CFFF2B9" w14:textId="5AE9CE9F" w:rsidR="00D32A79" w:rsidRPr="006E6BB9" w:rsidRDefault="00625C53" w:rsidP="00FD693C">
            <w:pPr>
              <w:jc w:val="left"/>
              <w:rPr>
                <w:rFonts w:cs="Open Sans"/>
                <w:sz w:val="20"/>
                <w:szCs w:val="20"/>
                <w:lang w:val="fr-FR"/>
              </w:rPr>
            </w:pPr>
            <w:r>
              <w:rPr>
                <w:rFonts w:cs="Open Sans"/>
                <w:sz w:val="20"/>
                <w:szCs w:val="20"/>
                <w:lang w:val="fr-FR"/>
              </w:rPr>
              <w:t>6</w:t>
            </w:r>
            <w:r w:rsidR="00CE1217">
              <w:rPr>
                <w:rFonts w:cs="Open Sans"/>
                <w:sz w:val="20"/>
                <w:szCs w:val="20"/>
                <w:lang w:val="fr-FR"/>
              </w:rPr>
              <w:t xml:space="preserve"> – 12 </w:t>
            </w:r>
            <w:proofErr w:type="spellStart"/>
            <w:r w:rsidR="00CE1217">
              <w:rPr>
                <w:rFonts w:cs="Open Sans"/>
                <w:sz w:val="20"/>
                <w:szCs w:val="20"/>
                <w:lang w:val="fr-FR"/>
              </w:rPr>
              <w:t>months</w:t>
            </w:r>
            <w:proofErr w:type="spellEnd"/>
          </w:p>
        </w:tc>
      </w:tr>
      <w:tr w:rsidR="00D32A79" w:rsidRPr="006E6BB9" w14:paraId="0658AEB9" w14:textId="77777777" w:rsidTr="000F487F">
        <w:tc>
          <w:tcPr>
            <w:tcW w:w="2830" w:type="dxa"/>
            <w:shd w:val="clear" w:color="auto" w:fill="D1D1D1" w:themeFill="background2" w:themeFillShade="E6"/>
            <w:vAlign w:val="center"/>
          </w:tcPr>
          <w:p w14:paraId="4171C9C3" w14:textId="3ECEFD26" w:rsidR="00D32A79" w:rsidRPr="006E6BB9" w:rsidRDefault="00792481" w:rsidP="00FD693C">
            <w:pPr>
              <w:jc w:val="left"/>
              <w:rPr>
                <w:rFonts w:cs="Open Sans"/>
                <w:sz w:val="20"/>
                <w:szCs w:val="20"/>
                <w:lang w:val="fr-FR"/>
              </w:rPr>
            </w:pPr>
            <w:r>
              <w:rPr>
                <w:rFonts w:cs="Open Sans"/>
                <w:sz w:val="20"/>
                <w:szCs w:val="20"/>
                <w:lang w:val="fr-FR"/>
              </w:rPr>
              <w:t xml:space="preserve">One to One </w:t>
            </w:r>
            <w:proofErr w:type="spellStart"/>
            <w:r>
              <w:rPr>
                <w:rFonts w:cs="Open Sans"/>
                <w:sz w:val="20"/>
                <w:szCs w:val="20"/>
                <w:lang w:val="fr-FR"/>
              </w:rPr>
              <w:t>reviews</w:t>
            </w:r>
            <w:proofErr w:type="spellEnd"/>
          </w:p>
        </w:tc>
        <w:tc>
          <w:tcPr>
            <w:tcW w:w="4253" w:type="dxa"/>
            <w:vAlign w:val="center"/>
          </w:tcPr>
          <w:p w14:paraId="455627B7" w14:textId="3BC17DD7" w:rsidR="00D32A79" w:rsidRPr="00FE27C1" w:rsidRDefault="00FE27C1" w:rsidP="00FD693C">
            <w:pPr>
              <w:jc w:val="left"/>
              <w:rPr>
                <w:rFonts w:cs="Open Sans"/>
                <w:sz w:val="20"/>
                <w:szCs w:val="20"/>
              </w:rPr>
            </w:pPr>
            <w:r>
              <w:rPr>
                <w:rFonts w:cs="Open Sans"/>
                <w:sz w:val="20"/>
                <w:szCs w:val="20"/>
              </w:rPr>
              <w:t>T</w:t>
            </w:r>
            <w:r w:rsidRPr="00FE27C1">
              <w:rPr>
                <w:rFonts w:cs="Open Sans"/>
                <w:sz w:val="20"/>
                <w:szCs w:val="20"/>
              </w:rPr>
              <w:t>o provide advisers with regular, structured support through discussion of performance, file quality, development needs, and progress against objectives.</w:t>
            </w:r>
          </w:p>
        </w:tc>
        <w:tc>
          <w:tcPr>
            <w:tcW w:w="4394" w:type="dxa"/>
            <w:vAlign w:val="center"/>
          </w:tcPr>
          <w:p w14:paraId="15971F19" w14:textId="66ED8E53" w:rsidR="00D32A79" w:rsidRPr="00FE27C1" w:rsidRDefault="00CE1217" w:rsidP="00FD693C">
            <w:pPr>
              <w:jc w:val="left"/>
              <w:rPr>
                <w:rFonts w:cs="Open Sans"/>
                <w:sz w:val="20"/>
                <w:szCs w:val="20"/>
              </w:rPr>
            </w:pPr>
            <w:r>
              <w:rPr>
                <w:rFonts w:cs="Open Sans"/>
                <w:sz w:val="20"/>
                <w:szCs w:val="20"/>
              </w:rPr>
              <w:t>Documents 1:1s</w:t>
            </w:r>
          </w:p>
        </w:tc>
        <w:tc>
          <w:tcPr>
            <w:tcW w:w="2471" w:type="dxa"/>
            <w:vAlign w:val="center"/>
          </w:tcPr>
          <w:p w14:paraId="6190AD64" w14:textId="4151B325" w:rsidR="00D32A79" w:rsidRPr="006E6BB9" w:rsidRDefault="000E3F71" w:rsidP="00FD693C">
            <w:pPr>
              <w:jc w:val="left"/>
              <w:rPr>
                <w:rFonts w:cs="Open Sans"/>
                <w:sz w:val="20"/>
                <w:szCs w:val="20"/>
                <w:lang w:val="fr-FR"/>
              </w:rPr>
            </w:pPr>
            <w:proofErr w:type="spellStart"/>
            <w:r>
              <w:rPr>
                <w:rFonts w:cs="Open Sans"/>
                <w:sz w:val="20"/>
                <w:szCs w:val="20"/>
                <w:lang w:val="fr-FR"/>
              </w:rPr>
              <w:t>Monthly</w:t>
            </w:r>
            <w:proofErr w:type="spellEnd"/>
          </w:p>
        </w:tc>
      </w:tr>
      <w:tr w:rsidR="000E3F71" w:rsidRPr="006E6BB9" w14:paraId="385748E9" w14:textId="77777777" w:rsidTr="000F487F">
        <w:tc>
          <w:tcPr>
            <w:tcW w:w="2830" w:type="dxa"/>
            <w:shd w:val="clear" w:color="auto" w:fill="D1D1D1" w:themeFill="background2" w:themeFillShade="E6"/>
            <w:vAlign w:val="center"/>
          </w:tcPr>
          <w:p w14:paraId="5EB8B58F" w14:textId="23839FAC" w:rsidR="000E3F71" w:rsidRDefault="000E3F71" w:rsidP="00FD693C">
            <w:pPr>
              <w:jc w:val="left"/>
              <w:rPr>
                <w:rFonts w:cs="Open Sans"/>
                <w:sz w:val="20"/>
                <w:szCs w:val="20"/>
                <w:lang w:val="fr-FR"/>
              </w:rPr>
            </w:pPr>
            <w:r>
              <w:rPr>
                <w:rFonts w:cs="Open Sans"/>
                <w:sz w:val="20"/>
                <w:szCs w:val="20"/>
                <w:lang w:val="fr-FR"/>
              </w:rPr>
              <w:lastRenderedPageBreak/>
              <w:t xml:space="preserve">Training Needs </w:t>
            </w:r>
            <w:proofErr w:type="spellStart"/>
            <w:r>
              <w:rPr>
                <w:rFonts w:cs="Open Sans"/>
                <w:sz w:val="20"/>
                <w:szCs w:val="20"/>
                <w:lang w:val="fr-FR"/>
              </w:rPr>
              <w:t>Analysis</w:t>
            </w:r>
            <w:proofErr w:type="spellEnd"/>
          </w:p>
        </w:tc>
        <w:tc>
          <w:tcPr>
            <w:tcW w:w="4253" w:type="dxa"/>
            <w:vAlign w:val="center"/>
          </w:tcPr>
          <w:p w14:paraId="6F1A20FD" w14:textId="0D0CAB16" w:rsidR="000E3F71" w:rsidRPr="0063237A" w:rsidRDefault="0063237A" w:rsidP="00FD693C">
            <w:pPr>
              <w:jc w:val="left"/>
              <w:rPr>
                <w:rFonts w:cs="Open Sans"/>
                <w:sz w:val="20"/>
                <w:szCs w:val="20"/>
              </w:rPr>
            </w:pPr>
            <w:r>
              <w:rPr>
                <w:rFonts w:cs="Open Sans"/>
                <w:sz w:val="20"/>
                <w:szCs w:val="20"/>
              </w:rPr>
              <w:t>T</w:t>
            </w:r>
            <w:r w:rsidRPr="0063237A">
              <w:rPr>
                <w:rFonts w:cs="Open Sans"/>
                <w:sz w:val="20"/>
                <w:szCs w:val="20"/>
              </w:rPr>
              <w:t>o identify any gaps in an adviser’s knowledge, skills, or behaviours that may impact their competence</w:t>
            </w:r>
          </w:p>
        </w:tc>
        <w:tc>
          <w:tcPr>
            <w:tcW w:w="4394" w:type="dxa"/>
            <w:vAlign w:val="center"/>
          </w:tcPr>
          <w:p w14:paraId="58707548" w14:textId="266A0375" w:rsidR="000E3F71" w:rsidRPr="0063237A" w:rsidRDefault="002163D7" w:rsidP="00FD693C">
            <w:pPr>
              <w:jc w:val="left"/>
              <w:rPr>
                <w:rFonts w:cs="Open Sans"/>
                <w:sz w:val="20"/>
                <w:szCs w:val="20"/>
              </w:rPr>
            </w:pPr>
            <w:r>
              <w:rPr>
                <w:rFonts w:cs="Open Sans"/>
                <w:sz w:val="20"/>
                <w:szCs w:val="20"/>
              </w:rPr>
              <w:t>Training Needs Analysis document</w:t>
            </w:r>
          </w:p>
        </w:tc>
        <w:tc>
          <w:tcPr>
            <w:tcW w:w="2471" w:type="dxa"/>
            <w:vAlign w:val="center"/>
          </w:tcPr>
          <w:p w14:paraId="6D50303B" w14:textId="5408D5BF" w:rsidR="000E3F71" w:rsidRDefault="000E3F71" w:rsidP="00FD693C">
            <w:pPr>
              <w:jc w:val="left"/>
              <w:rPr>
                <w:rFonts w:cs="Open Sans"/>
                <w:sz w:val="20"/>
                <w:szCs w:val="20"/>
                <w:lang w:val="fr-FR"/>
              </w:rPr>
            </w:pPr>
            <w:proofErr w:type="spellStart"/>
            <w:r>
              <w:rPr>
                <w:rFonts w:cs="Open Sans"/>
                <w:sz w:val="20"/>
                <w:szCs w:val="20"/>
                <w:lang w:val="fr-FR"/>
              </w:rPr>
              <w:t>Monthly</w:t>
            </w:r>
            <w:proofErr w:type="spellEnd"/>
            <w:r>
              <w:rPr>
                <w:rFonts w:cs="Open Sans"/>
                <w:sz w:val="20"/>
                <w:szCs w:val="20"/>
                <w:lang w:val="fr-FR"/>
              </w:rPr>
              <w:t xml:space="preserve"> </w:t>
            </w:r>
          </w:p>
        </w:tc>
      </w:tr>
      <w:tr w:rsidR="003F2081" w:rsidRPr="006E6BB9" w14:paraId="7A861D18" w14:textId="77777777" w:rsidTr="000F487F">
        <w:tc>
          <w:tcPr>
            <w:tcW w:w="2830" w:type="dxa"/>
            <w:shd w:val="clear" w:color="auto" w:fill="D1D1D1" w:themeFill="background2" w:themeFillShade="E6"/>
            <w:vAlign w:val="center"/>
          </w:tcPr>
          <w:p w14:paraId="3FB2F4CE" w14:textId="34753135" w:rsidR="003F2081" w:rsidRDefault="003F2081" w:rsidP="00FD693C">
            <w:pPr>
              <w:jc w:val="left"/>
              <w:rPr>
                <w:rFonts w:cs="Open Sans"/>
                <w:sz w:val="20"/>
                <w:szCs w:val="20"/>
                <w:lang w:val="fr-FR"/>
              </w:rPr>
            </w:pPr>
            <w:proofErr w:type="spellStart"/>
            <w:r>
              <w:rPr>
                <w:rFonts w:cs="Open Sans"/>
                <w:sz w:val="20"/>
                <w:szCs w:val="20"/>
                <w:lang w:val="fr-FR"/>
              </w:rPr>
              <w:t>Personal</w:t>
            </w:r>
            <w:proofErr w:type="spellEnd"/>
            <w:r>
              <w:rPr>
                <w:rFonts w:cs="Open Sans"/>
                <w:sz w:val="20"/>
                <w:szCs w:val="20"/>
                <w:lang w:val="fr-FR"/>
              </w:rPr>
              <w:t xml:space="preserve"> </w:t>
            </w:r>
            <w:proofErr w:type="spellStart"/>
            <w:r>
              <w:rPr>
                <w:rFonts w:cs="Open Sans"/>
                <w:sz w:val="20"/>
                <w:szCs w:val="20"/>
                <w:lang w:val="fr-FR"/>
              </w:rPr>
              <w:t>Development</w:t>
            </w:r>
            <w:proofErr w:type="spellEnd"/>
            <w:r>
              <w:rPr>
                <w:rFonts w:cs="Open Sans"/>
                <w:sz w:val="20"/>
                <w:szCs w:val="20"/>
                <w:lang w:val="fr-FR"/>
              </w:rPr>
              <w:t xml:space="preserve"> Plan</w:t>
            </w:r>
          </w:p>
        </w:tc>
        <w:tc>
          <w:tcPr>
            <w:tcW w:w="4253" w:type="dxa"/>
            <w:vAlign w:val="center"/>
          </w:tcPr>
          <w:p w14:paraId="4F665A80" w14:textId="64FEDB25" w:rsidR="003F2081" w:rsidRPr="007760F2" w:rsidRDefault="007760F2" w:rsidP="00FD693C">
            <w:pPr>
              <w:jc w:val="left"/>
              <w:rPr>
                <w:rFonts w:cs="Open Sans"/>
                <w:sz w:val="20"/>
                <w:szCs w:val="20"/>
              </w:rPr>
            </w:pPr>
            <w:r>
              <w:rPr>
                <w:rFonts w:cs="Open Sans"/>
                <w:sz w:val="20"/>
                <w:szCs w:val="20"/>
              </w:rPr>
              <w:t>T</w:t>
            </w:r>
            <w:r w:rsidRPr="007760F2">
              <w:rPr>
                <w:rFonts w:cs="Open Sans"/>
                <w:sz w:val="20"/>
                <w:szCs w:val="20"/>
              </w:rPr>
              <w:t>o set out clear, tailored actions to address identified development needs and support the adviser’s continued growth.</w:t>
            </w:r>
          </w:p>
        </w:tc>
        <w:tc>
          <w:tcPr>
            <w:tcW w:w="4394" w:type="dxa"/>
            <w:vAlign w:val="center"/>
          </w:tcPr>
          <w:p w14:paraId="24AACE46" w14:textId="67FA835D" w:rsidR="003F2081" w:rsidRPr="007760F2" w:rsidRDefault="00745F25" w:rsidP="00FD693C">
            <w:pPr>
              <w:jc w:val="left"/>
              <w:rPr>
                <w:rFonts w:cs="Open Sans"/>
                <w:sz w:val="20"/>
                <w:szCs w:val="20"/>
              </w:rPr>
            </w:pPr>
            <w:r>
              <w:rPr>
                <w:rFonts w:cs="Open Sans"/>
                <w:sz w:val="20"/>
                <w:szCs w:val="20"/>
              </w:rPr>
              <w:t>PDP with actions and timescales defined</w:t>
            </w:r>
          </w:p>
        </w:tc>
        <w:tc>
          <w:tcPr>
            <w:tcW w:w="2471" w:type="dxa"/>
            <w:vAlign w:val="center"/>
          </w:tcPr>
          <w:p w14:paraId="47B80AE0" w14:textId="54D6CC87" w:rsidR="003F2081" w:rsidRDefault="003F2081" w:rsidP="00FD693C">
            <w:pPr>
              <w:jc w:val="left"/>
              <w:rPr>
                <w:rFonts w:cs="Open Sans"/>
                <w:sz w:val="20"/>
                <w:szCs w:val="20"/>
                <w:lang w:val="fr-FR"/>
              </w:rPr>
            </w:pPr>
            <w:proofErr w:type="spellStart"/>
            <w:r>
              <w:rPr>
                <w:rFonts w:cs="Open Sans"/>
                <w:sz w:val="20"/>
                <w:szCs w:val="20"/>
                <w:lang w:val="fr-FR"/>
              </w:rPr>
              <w:t>Monthly</w:t>
            </w:r>
            <w:proofErr w:type="spellEnd"/>
          </w:p>
        </w:tc>
      </w:tr>
      <w:tr w:rsidR="003F2081" w:rsidRPr="006E6BB9" w14:paraId="3E328D16" w14:textId="77777777" w:rsidTr="000F487F">
        <w:tc>
          <w:tcPr>
            <w:tcW w:w="2830" w:type="dxa"/>
            <w:shd w:val="clear" w:color="auto" w:fill="D1D1D1" w:themeFill="background2" w:themeFillShade="E6"/>
            <w:vAlign w:val="center"/>
          </w:tcPr>
          <w:p w14:paraId="391E5AE1" w14:textId="3EF6F63E" w:rsidR="003F2081" w:rsidRDefault="00FD682A" w:rsidP="00FD693C">
            <w:pPr>
              <w:jc w:val="left"/>
              <w:rPr>
                <w:rFonts w:cs="Open Sans"/>
                <w:sz w:val="20"/>
                <w:szCs w:val="20"/>
                <w:lang w:val="fr-FR"/>
              </w:rPr>
            </w:pPr>
            <w:r>
              <w:rPr>
                <w:rFonts w:cs="Open Sans"/>
                <w:sz w:val="20"/>
                <w:szCs w:val="20"/>
                <w:lang w:val="fr-FR"/>
              </w:rPr>
              <w:t xml:space="preserve">CPD </w:t>
            </w:r>
            <w:proofErr w:type="spellStart"/>
            <w:r>
              <w:rPr>
                <w:rFonts w:cs="Open Sans"/>
                <w:sz w:val="20"/>
                <w:szCs w:val="20"/>
                <w:lang w:val="fr-FR"/>
              </w:rPr>
              <w:t>Review</w:t>
            </w:r>
            <w:proofErr w:type="spellEnd"/>
            <w:r>
              <w:rPr>
                <w:rFonts w:cs="Open Sans"/>
                <w:sz w:val="20"/>
                <w:szCs w:val="20"/>
                <w:lang w:val="fr-FR"/>
              </w:rPr>
              <w:t xml:space="preserve"> </w:t>
            </w:r>
          </w:p>
        </w:tc>
        <w:tc>
          <w:tcPr>
            <w:tcW w:w="4253" w:type="dxa"/>
            <w:vAlign w:val="center"/>
          </w:tcPr>
          <w:p w14:paraId="5C91436D" w14:textId="6FB1F1A8" w:rsidR="003F2081" w:rsidRPr="00192B2E" w:rsidRDefault="00192B2E" w:rsidP="00FD693C">
            <w:pPr>
              <w:jc w:val="left"/>
              <w:rPr>
                <w:rFonts w:cs="Open Sans"/>
                <w:sz w:val="20"/>
                <w:szCs w:val="20"/>
              </w:rPr>
            </w:pPr>
            <w:r>
              <w:rPr>
                <w:rFonts w:cs="Open Sans"/>
                <w:sz w:val="20"/>
                <w:szCs w:val="20"/>
              </w:rPr>
              <w:t>T</w:t>
            </w:r>
            <w:r w:rsidRPr="00192B2E">
              <w:rPr>
                <w:rFonts w:cs="Open Sans"/>
                <w:sz w:val="20"/>
                <w:szCs w:val="20"/>
              </w:rPr>
              <w:t>o ensure advisers maintain up</w:t>
            </w:r>
            <w:r w:rsidR="0044249B">
              <w:rPr>
                <w:rFonts w:cs="Open Sans"/>
                <w:sz w:val="20"/>
                <w:szCs w:val="20"/>
              </w:rPr>
              <w:t xml:space="preserve"> </w:t>
            </w:r>
            <w:r w:rsidRPr="00192B2E">
              <w:rPr>
                <w:rFonts w:cs="Open Sans"/>
                <w:sz w:val="20"/>
                <w:szCs w:val="20"/>
              </w:rPr>
              <w:t>to</w:t>
            </w:r>
            <w:r w:rsidR="0044249B">
              <w:rPr>
                <w:rFonts w:cs="Open Sans"/>
                <w:sz w:val="20"/>
                <w:szCs w:val="20"/>
              </w:rPr>
              <w:t xml:space="preserve"> </w:t>
            </w:r>
            <w:r w:rsidRPr="00192B2E">
              <w:rPr>
                <w:rFonts w:cs="Open Sans"/>
                <w:sz w:val="20"/>
                <w:szCs w:val="20"/>
              </w:rPr>
              <w:t>date knowledge, technical skills, and professional standards throughout their career</w:t>
            </w:r>
          </w:p>
        </w:tc>
        <w:tc>
          <w:tcPr>
            <w:tcW w:w="4394" w:type="dxa"/>
            <w:vAlign w:val="center"/>
          </w:tcPr>
          <w:p w14:paraId="4BD496B2" w14:textId="105F48D7" w:rsidR="003F2081" w:rsidRPr="00192B2E" w:rsidRDefault="00745F25" w:rsidP="00FD693C">
            <w:pPr>
              <w:jc w:val="left"/>
              <w:rPr>
                <w:rFonts w:cs="Open Sans"/>
                <w:sz w:val="20"/>
                <w:szCs w:val="20"/>
              </w:rPr>
            </w:pPr>
            <w:r>
              <w:rPr>
                <w:rFonts w:cs="Open Sans"/>
                <w:sz w:val="20"/>
                <w:szCs w:val="20"/>
              </w:rPr>
              <w:t>Copy of CPD record</w:t>
            </w:r>
          </w:p>
        </w:tc>
        <w:tc>
          <w:tcPr>
            <w:tcW w:w="2471" w:type="dxa"/>
            <w:vAlign w:val="center"/>
          </w:tcPr>
          <w:p w14:paraId="35A60C4C" w14:textId="2490D9E0" w:rsidR="003F2081" w:rsidRDefault="00FD682A" w:rsidP="00FD693C">
            <w:pPr>
              <w:jc w:val="left"/>
              <w:rPr>
                <w:rFonts w:cs="Open Sans"/>
                <w:sz w:val="20"/>
                <w:szCs w:val="20"/>
                <w:lang w:val="fr-FR"/>
              </w:rPr>
            </w:pPr>
            <w:proofErr w:type="spellStart"/>
            <w:r>
              <w:rPr>
                <w:rFonts w:cs="Open Sans"/>
                <w:sz w:val="20"/>
                <w:szCs w:val="20"/>
                <w:lang w:val="fr-FR"/>
              </w:rPr>
              <w:t>Monthly</w:t>
            </w:r>
            <w:proofErr w:type="spellEnd"/>
          </w:p>
        </w:tc>
      </w:tr>
    </w:tbl>
    <w:p w14:paraId="03EFCCF0" w14:textId="59A53C37" w:rsidR="00961878" w:rsidRDefault="00D32A79" w:rsidP="00D32A79">
      <w:pPr>
        <w:rPr>
          <w:b/>
          <w:bCs/>
        </w:rPr>
      </w:pPr>
      <w:r w:rsidRPr="00223258">
        <w:rPr>
          <w:rFonts w:cs="Open Sans"/>
        </w:rPr>
        <w:t xml:space="preserve">Failure to attain competence within timescales </w:t>
      </w:r>
      <w:r>
        <w:rPr>
          <w:rFonts w:cs="Open Sans"/>
        </w:rPr>
        <w:t>may</w:t>
      </w:r>
      <w:r w:rsidRPr="00223258">
        <w:rPr>
          <w:rFonts w:cs="Open Sans"/>
        </w:rPr>
        <w:t xml:space="preserve"> result in action </w:t>
      </w:r>
      <w:proofErr w:type="gramStart"/>
      <w:r w:rsidR="00342780">
        <w:rPr>
          <w:rFonts w:cs="Open Sans"/>
        </w:rPr>
        <w:t xml:space="preserve">being </w:t>
      </w:r>
      <w:r w:rsidRPr="00223258">
        <w:rPr>
          <w:rFonts w:cs="Open Sans"/>
        </w:rPr>
        <w:t>taken</w:t>
      </w:r>
      <w:proofErr w:type="gramEnd"/>
      <w:r w:rsidRPr="00223258">
        <w:rPr>
          <w:rFonts w:cs="Open Sans"/>
        </w:rPr>
        <w:t>.</w:t>
      </w:r>
    </w:p>
    <w:p w14:paraId="0A49758E" w14:textId="77777777" w:rsidR="00961878" w:rsidRDefault="00961878" w:rsidP="00D32A79"/>
    <w:p w14:paraId="6316B144" w14:textId="77777777" w:rsidR="000D1980" w:rsidRDefault="000D1980"/>
    <w:sectPr w:rsidR="000D1980" w:rsidSect="00D32A7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45AF" w14:textId="77777777" w:rsidR="009810B7" w:rsidRDefault="009810B7" w:rsidP="00D32A79">
      <w:pPr>
        <w:spacing w:line="240" w:lineRule="auto"/>
      </w:pPr>
      <w:r>
        <w:separator/>
      </w:r>
    </w:p>
  </w:endnote>
  <w:endnote w:type="continuationSeparator" w:id="0">
    <w:p w14:paraId="71F7BAAC" w14:textId="77777777" w:rsidR="009810B7" w:rsidRDefault="009810B7" w:rsidP="00D32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Light">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2416867"/>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1D554597" w14:textId="77777777" w:rsidR="005F6E66" w:rsidRDefault="005F6E66" w:rsidP="00961878">
            <w:pPr>
              <w:pStyle w:val="Footer"/>
              <w:rPr>
                <w:sz w:val="18"/>
                <w:szCs w:val="18"/>
              </w:rPr>
            </w:pPr>
          </w:p>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F6E66" w:rsidRPr="009A3BCA" w14:paraId="41BC0796" w14:textId="77777777" w:rsidTr="0061625E">
              <w:trPr>
                <w:trHeight w:val="284"/>
              </w:trPr>
              <w:tc>
                <w:tcPr>
                  <w:tcW w:w="2171" w:type="pct"/>
                  <w:tcMar>
                    <w:left w:w="0" w:type="dxa"/>
                    <w:right w:w="0" w:type="dxa"/>
                  </w:tcMar>
                  <w:vAlign w:val="bottom"/>
                </w:tcPr>
                <w:p w14:paraId="6B5B7A02" w14:textId="77777777" w:rsidR="005F6E66" w:rsidRPr="00416BBD" w:rsidRDefault="005F6E66" w:rsidP="005F6E66">
                  <w:pPr>
                    <w:pStyle w:val="Header"/>
                    <w:spacing w:before="200"/>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2F649BDC" w14:textId="77777777" w:rsidR="005F6E66" w:rsidRPr="00416BBD" w:rsidRDefault="005F6E66" w:rsidP="005F6E66">
                  <w:pPr>
                    <w:pStyle w:val="Header"/>
                    <w:spacing w:before="200"/>
                    <w:jc w:val="right"/>
                    <w:rPr>
                      <w:color w:val="000000" w:themeColor="text1"/>
                      <w:sz w:val="18"/>
                      <w:szCs w:val="18"/>
                    </w:rPr>
                  </w:pPr>
                  <w:r w:rsidRPr="00416BBD">
                    <w:rPr>
                      <w:color w:val="000000" w:themeColor="text1"/>
                      <w:sz w:val="18"/>
                      <w:szCs w:val="18"/>
                    </w:rPr>
                    <w:t>Version</w:t>
                  </w:r>
                  <w:r>
                    <w:rPr>
                      <w:color w:val="000000" w:themeColor="text1"/>
                      <w:sz w:val="18"/>
                      <w:szCs w:val="18"/>
                    </w:rPr>
                    <w:t>: June 2026</w:t>
                  </w:r>
                </w:p>
              </w:tc>
            </w:tr>
          </w:tbl>
          <w:p w14:paraId="528D349D" w14:textId="6FF17653" w:rsidR="00961878" w:rsidRPr="000208EB" w:rsidRDefault="00961878" w:rsidP="00961878">
            <w:pPr>
              <w:pStyle w:val="Foo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8EB">
              <w:rPr>
                <w:sz w:val="18"/>
                <w:szCs w:val="18"/>
              </w:rPr>
              <w:t xml:space="preserve">Page </w:t>
            </w:r>
            <w:r w:rsidRPr="000208EB">
              <w:rPr>
                <w:b/>
                <w:bCs/>
                <w:sz w:val="18"/>
                <w:szCs w:val="18"/>
              </w:rPr>
              <w:fldChar w:fldCharType="begin"/>
            </w:r>
            <w:r w:rsidRPr="000208EB">
              <w:rPr>
                <w:b/>
                <w:bCs/>
                <w:sz w:val="18"/>
                <w:szCs w:val="18"/>
              </w:rPr>
              <w:instrText xml:space="preserve"> PAGE </w:instrText>
            </w:r>
            <w:r w:rsidRPr="000208EB">
              <w:rPr>
                <w:b/>
                <w:bCs/>
                <w:sz w:val="18"/>
                <w:szCs w:val="18"/>
              </w:rPr>
              <w:fldChar w:fldCharType="separate"/>
            </w:r>
            <w:r w:rsidRPr="000208EB">
              <w:rPr>
                <w:b/>
                <w:bCs/>
                <w:noProof/>
                <w:sz w:val="18"/>
                <w:szCs w:val="18"/>
              </w:rPr>
              <w:t>2</w:t>
            </w:r>
            <w:r w:rsidRPr="000208EB">
              <w:rPr>
                <w:b/>
                <w:bCs/>
                <w:sz w:val="18"/>
                <w:szCs w:val="18"/>
              </w:rPr>
              <w:fldChar w:fldCharType="end"/>
            </w:r>
            <w:r w:rsidRPr="000208EB">
              <w:rPr>
                <w:sz w:val="18"/>
                <w:szCs w:val="18"/>
              </w:rPr>
              <w:t xml:space="preserve"> of </w:t>
            </w:r>
            <w:r w:rsidRPr="000208EB">
              <w:rPr>
                <w:b/>
                <w:bCs/>
                <w:sz w:val="18"/>
                <w:szCs w:val="18"/>
              </w:rPr>
              <w:fldChar w:fldCharType="begin"/>
            </w:r>
            <w:r w:rsidRPr="000208EB">
              <w:rPr>
                <w:b/>
                <w:bCs/>
                <w:sz w:val="18"/>
                <w:szCs w:val="18"/>
              </w:rPr>
              <w:instrText xml:space="preserve"> NUMPAGES  </w:instrText>
            </w:r>
            <w:r w:rsidRPr="000208EB">
              <w:rPr>
                <w:b/>
                <w:bCs/>
                <w:sz w:val="18"/>
                <w:szCs w:val="18"/>
              </w:rPr>
              <w:fldChar w:fldCharType="separate"/>
            </w:r>
            <w:r w:rsidRPr="000208EB">
              <w:rPr>
                <w:b/>
                <w:bCs/>
                <w:noProof/>
                <w:sz w:val="18"/>
                <w:szCs w:val="18"/>
              </w:rPr>
              <w:t>2</w:t>
            </w:r>
            <w:r w:rsidRPr="000208EB">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47E4" w14:textId="77777777" w:rsidR="009810B7" w:rsidRDefault="009810B7" w:rsidP="00D32A79">
      <w:pPr>
        <w:spacing w:line="240" w:lineRule="auto"/>
      </w:pPr>
      <w:r>
        <w:separator/>
      </w:r>
    </w:p>
  </w:footnote>
  <w:footnote w:type="continuationSeparator" w:id="0">
    <w:p w14:paraId="5914CF61" w14:textId="77777777" w:rsidR="009810B7" w:rsidRDefault="009810B7" w:rsidP="00D32A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E89"/>
    <w:multiLevelType w:val="multilevel"/>
    <w:tmpl w:val="7450B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00864"/>
    <w:multiLevelType w:val="multilevel"/>
    <w:tmpl w:val="2900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541A"/>
    <w:multiLevelType w:val="hybridMultilevel"/>
    <w:tmpl w:val="800A9B5C"/>
    <w:lvl w:ilvl="0" w:tplc="4CEE9C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40CD"/>
    <w:multiLevelType w:val="multilevel"/>
    <w:tmpl w:val="8606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41391"/>
    <w:multiLevelType w:val="hybridMultilevel"/>
    <w:tmpl w:val="8DEE6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3B6532"/>
    <w:multiLevelType w:val="hybridMultilevel"/>
    <w:tmpl w:val="30163A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A3FA8"/>
    <w:multiLevelType w:val="multilevel"/>
    <w:tmpl w:val="C11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71993"/>
    <w:multiLevelType w:val="multilevel"/>
    <w:tmpl w:val="BF92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A34EB"/>
    <w:multiLevelType w:val="multilevel"/>
    <w:tmpl w:val="B43A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A3162"/>
    <w:multiLevelType w:val="multilevel"/>
    <w:tmpl w:val="6824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1D6C"/>
    <w:multiLevelType w:val="multilevel"/>
    <w:tmpl w:val="C49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165FD"/>
    <w:multiLevelType w:val="hybridMultilevel"/>
    <w:tmpl w:val="D31EBF7E"/>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5FD6167"/>
    <w:multiLevelType w:val="hybridMultilevel"/>
    <w:tmpl w:val="D5CE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14298"/>
    <w:multiLevelType w:val="hybridMultilevel"/>
    <w:tmpl w:val="FE64CC3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D9263A"/>
    <w:multiLevelType w:val="multilevel"/>
    <w:tmpl w:val="8FBA5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51105"/>
    <w:multiLevelType w:val="multilevel"/>
    <w:tmpl w:val="4D5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60BFB"/>
    <w:multiLevelType w:val="multilevel"/>
    <w:tmpl w:val="B52A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765D5"/>
    <w:multiLevelType w:val="hybridMultilevel"/>
    <w:tmpl w:val="CF687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624AB"/>
    <w:multiLevelType w:val="multilevel"/>
    <w:tmpl w:val="FC2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47C87"/>
    <w:multiLevelType w:val="multilevel"/>
    <w:tmpl w:val="2780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D366E"/>
    <w:multiLevelType w:val="hybridMultilevel"/>
    <w:tmpl w:val="BD449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20F6E"/>
    <w:multiLevelType w:val="multilevel"/>
    <w:tmpl w:val="432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F0D18"/>
    <w:multiLevelType w:val="multilevel"/>
    <w:tmpl w:val="F95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D64B4"/>
    <w:multiLevelType w:val="multilevel"/>
    <w:tmpl w:val="21C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07802"/>
    <w:multiLevelType w:val="multilevel"/>
    <w:tmpl w:val="8560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03C82"/>
    <w:multiLevelType w:val="multilevel"/>
    <w:tmpl w:val="1F1C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80DE6"/>
    <w:multiLevelType w:val="multilevel"/>
    <w:tmpl w:val="B43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A3928"/>
    <w:multiLevelType w:val="multilevel"/>
    <w:tmpl w:val="397CAD68"/>
    <w:lvl w:ilvl="0">
      <w:start w:val="1"/>
      <w:numFmt w:val="bullet"/>
      <w:lvlText w:val="X"/>
      <w:lvlJc w:val="left"/>
      <w:pPr>
        <w:tabs>
          <w:tab w:val="num" w:pos="720"/>
        </w:tabs>
        <w:ind w:left="720" w:hanging="360"/>
      </w:pPr>
      <w:rPr>
        <w:rFonts w:ascii="Yu Mincho Light" w:eastAsia="Yu Mincho Light" w:hAnsi="Yu Mincho Light"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8E54A9"/>
    <w:multiLevelType w:val="multilevel"/>
    <w:tmpl w:val="5998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6148B"/>
    <w:multiLevelType w:val="multilevel"/>
    <w:tmpl w:val="BD9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614A4"/>
    <w:multiLevelType w:val="multilevel"/>
    <w:tmpl w:val="28D8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50AB5"/>
    <w:multiLevelType w:val="hybridMultilevel"/>
    <w:tmpl w:val="EBD852F6"/>
    <w:lvl w:ilvl="0" w:tplc="F574FEF0">
      <w:start w:val="1"/>
      <w:numFmt w:val="decimal"/>
      <w:lvlText w:val="(%1)"/>
      <w:lvlJc w:val="left"/>
      <w:pPr>
        <w:ind w:left="720" w:hanging="360"/>
      </w:pPr>
      <w:rPr>
        <w:rFonts w:hint="default"/>
        <w:color w:val="404040"/>
      </w:rPr>
    </w:lvl>
    <w:lvl w:ilvl="1" w:tplc="FF04F56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262F24"/>
    <w:multiLevelType w:val="hybridMultilevel"/>
    <w:tmpl w:val="C114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03123"/>
    <w:multiLevelType w:val="hybridMultilevel"/>
    <w:tmpl w:val="AC027C4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294928"/>
    <w:multiLevelType w:val="multilevel"/>
    <w:tmpl w:val="9B8E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86D80"/>
    <w:multiLevelType w:val="multilevel"/>
    <w:tmpl w:val="155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D1466"/>
    <w:multiLevelType w:val="multilevel"/>
    <w:tmpl w:val="6D6C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01319C"/>
    <w:multiLevelType w:val="hybridMultilevel"/>
    <w:tmpl w:val="F9166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6B1372"/>
    <w:multiLevelType w:val="hybridMultilevel"/>
    <w:tmpl w:val="6EECCD84"/>
    <w:lvl w:ilvl="0" w:tplc="EB52614C">
      <w:start w:val="1"/>
      <w:numFmt w:val="bullet"/>
      <w:pStyle w:val="21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F423B1"/>
    <w:multiLevelType w:val="multilevel"/>
    <w:tmpl w:val="F47CE0F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Open Sans" w:eastAsiaTheme="minorHAnsi" w:hAnsi="Open Sans" w:cs="Open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73499"/>
    <w:multiLevelType w:val="multilevel"/>
    <w:tmpl w:val="3C0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33B0A"/>
    <w:multiLevelType w:val="hybridMultilevel"/>
    <w:tmpl w:val="7518B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664F4A"/>
    <w:multiLevelType w:val="hybridMultilevel"/>
    <w:tmpl w:val="323EBBB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1485923">
    <w:abstractNumId w:val="2"/>
  </w:num>
  <w:num w:numId="2" w16cid:durableId="1556164753">
    <w:abstractNumId w:val="31"/>
  </w:num>
  <w:num w:numId="3" w16cid:durableId="956178773">
    <w:abstractNumId w:val="37"/>
  </w:num>
  <w:num w:numId="4" w16cid:durableId="351230363">
    <w:abstractNumId w:val="32"/>
  </w:num>
  <w:num w:numId="5" w16cid:durableId="1813407508">
    <w:abstractNumId w:val="24"/>
  </w:num>
  <w:num w:numId="6" w16cid:durableId="832841964">
    <w:abstractNumId w:val="16"/>
  </w:num>
  <w:num w:numId="7" w16cid:durableId="190923172">
    <w:abstractNumId w:val="40"/>
  </w:num>
  <w:num w:numId="8" w16cid:durableId="403139235">
    <w:abstractNumId w:val="1"/>
  </w:num>
  <w:num w:numId="9" w16cid:durableId="2081782082">
    <w:abstractNumId w:val="34"/>
  </w:num>
  <w:num w:numId="10" w16cid:durableId="1742629763">
    <w:abstractNumId w:val="14"/>
  </w:num>
  <w:num w:numId="11" w16cid:durableId="1874925513">
    <w:abstractNumId w:val="13"/>
  </w:num>
  <w:num w:numId="12" w16cid:durableId="73625746">
    <w:abstractNumId w:val="33"/>
  </w:num>
  <w:num w:numId="13" w16cid:durableId="294531358">
    <w:abstractNumId w:val="42"/>
  </w:num>
  <w:num w:numId="14" w16cid:durableId="1749422785">
    <w:abstractNumId w:val="29"/>
  </w:num>
  <w:num w:numId="15" w16cid:durableId="89274793">
    <w:abstractNumId w:val="9"/>
  </w:num>
  <w:num w:numId="16" w16cid:durableId="130440133">
    <w:abstractNumId w:val="23"/>
  </w:num>
  <w:num w:numId="17" w16cid:durableId="743528579">
    <w:abstractNumId w:val="28"/>
  </w:num>
  <w:num w:numId="18" w16cid:durableId="1878463935">
    <w:abstractNumId w:val="30"/>
  </w:num>
  <w:num w:numId="19" w16cid:durableId="381638983">
    <w:abstractNumId w:val="38"/>
  </w:num>
  <w:num w:numId="20" w16cid:durableId="1862162976">
    <w:abstractNumId w:val="3"/>
  </w:num>
  <w:num w:numId="21" w16cid:durableId="738291455">
    <w:abstractNumId w:val="8"/>
  </w:num>
  <w:num w:numId="22" w16cid:durableId="619652646">
    <w:abstractNumId w:val="0"/>
  </w:num>
  <w:num w:numId="23" w16cid:durableId="1151407621">
    <w:abstractNumId w:val="10"/>
  </w:num>
  <w:num w:numId="24" w16cid:durableId="7759748">
    <w:abstractNumId w:val="15"/>
  </w:num>
  <w:num w:numId="25" w16cid:durableId="2016496267">
    <w:abstractNumId w:val="36"/>
  </w:num>
  <w:num w:numId="26" w16cid:durableId="168757849">
    <w:abstractNumId w:val="39"/>
  </w:num>
  <w:num w:numId="27" w16cid:durableId="191574563">
    <w:abstractNumId w:val="35"/>
  </w:num>
  <w:num w:numId="28" w16cid:durableId="348605592">
    <w:abstractNumId w:val="7"/>
  </w:num>
  <w:num w:numId="29" w16cid:durableId="1383477959">
    <w:abstractNumId w:val="11"/>
  </w:num>
  <w:num w:numId="30" w16cid:durableId="1178732451">
    <w:abstractNumId w:val="22"/>
  </w:num>
  <w:num w:numId="31" w16cid:durableId="2095931309">
    <w:abstractNumId w:val="12"/>
  </w:num>
  <w:num w:numId="32" w16cid:durableId="774441251">
    <w:abstractNumId w:val="6"/>
  </w:num>
  <w:num w:numId="33" w16cid:durableId="12075475">
    <w:abstractNumId w:val="4"/>
  </w:num>
  <w:num w:numId="34" w16cid:durableId="1054737551">
    <w:abstractNumId w:val="41"/>
  </w:num>
  <w:num w:numId="35" w16cid:durableId="346489664">
    <w:abstractNumId w:val="20"/>
  </w:num>
  <w:num w:numId="36" w16cid:durableId="705640376">
    <w:abstractNumId w:val="17"/>
  </w:num>
  <w:num w:numId="37" w16cid:durableId="563758176">
    <w:abstractNumId w:val="27"/>
  </w:num>
  <w:num w:numId="38" w16cid:durableId="1543177541">
    <w:abstractNumId w:val="25"/>
  </w:num>
  <w:num w:numId="39" w16cid:durableId="1181357595">
    <w:abstractNumId w:val="26"/>
  </w:num>
  <w:num w:numId="40" w16cid:durableId="557088231">
    <w:abstractNumId w:val="18"/>
  </w:num>
  <w:num w:numId="41" w16cid:durableId="1603411724">
    <w:abstractNumId w:val="21"/>
  </w:num>
  <w:num w:numId="42" w16cid:durableId="1576933530">
    <w:abstractNumId w:val="19"/>
  </w:num>
  <w:num w:numId="43" w16cid:durableId="172517704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9"/>
    <w:rsid w:val="00006ECD"/>
    <w:rsid w:val="00016B7A"/>
    <w:rsid w:val="000176EA"/>
    <w:rsid w:val="00023FFC"/>
    <w:rsid w:val="00032419"/>
    <w:rsid w:val="00053348"/>
    <w:rsid w:val="00080E51"/>
    <w:rsid w:val="000A5232"/>
    <w:rsid w:val="000D1980"/>
    <w:rsid w:val="000D6E2A"/>
    <w:rsid w:val="000E3F71"/>
    <w:rsid w:val="000F22F0"/>
    <w:rsid w:val="000F2CDB"/>
    <w:rsid w:val="000F487F"/>
    <w:rsid w:val="000F67CA"/>
    <w:rsid w:val="001004DA"/>
    <w:rsid w:val="00100CF6"/>
    <w:rsid w:val="0010459B"/>
    <w:rsid w:val="001503F2"/>
    <w:rsid w:val="0016132C"/>
    <w:rsid w:val="0016461C"/>
    <w:rsid w:val="0017223A"/>
    <w:rsid w:val="00192B2E"/>
    <w:rsid w:val="001A71F6"/>
    <w:rsid w:val="001B1477"/>
    <w:rsid w:val="001B2D5E"/>
    <w:rsid w:val="001D55C2"/>
    <w:rsid w:val="001F46FC"/>
    <w:rsid w:val="001F4E9C"/>
    <w:rsid w:val="002163D7"/>
    <w:rsid w:val="002417AA"/>
    <w:rsid w:val="002460F1"/>
    <w:rsid w:val="00286071"/>
    <w:rsid w:val="0029095E"/>
    <w:rsid w:val="00295608"/>
    <w:rsid w:val="002A56E3"/>
    <w:rsid w:val="002B2F13"/>
    <w:rsid w:val="002F22AA"/>
    <w:rsid w:val="002F3352"/>
    <w:rsid w:val="00300AC7"/>
    <w:rsid w:val="0030689D"/>
    <w:rsid w:val="00317443"/>
    <w:rsid w:val="00325F06"/>
    <w:rsid w:val="00333518"/>
    <w:rsid w:val="00337A3F"/>
    <w:rsid w:val="00342780"/>
    <w:rsid w:val="00360AE2"/>
    <w:rsid w:val="003D05D4"/>
    <w:rsid w:val="003D7F59"/>
    <w:rsid w:val="003F2081"/>
    <w:rsid w:val="003F4E3D"/>
    <w:rsid w:val="003F7E89"/>
    <w:rsid w:val="00417CDE"/>
    <w:rsid w:val="00430202"/>
    <w:rsid w:val="004329EC"/>
    <w:rsid w:val="00435F2F"/>
    <w:rsid w:val="0044249B"/>
    <w:rsid w:val="00463BC6"/>
    <w:rsid w:val="004939AB"/>
    <w:rsid w:val="0049749A"/>
    <w:rsid w:val="004D5846"/>
    <w:rsid w:val="004E1A8A"/>
    <w:rsid w:val="004F33D6"/>
    <w:rsid w:val="005437DA"/>
    <w:rsid w:val="00545A10"/>
    <w:rsid w:val="00572FE1"/>
    <w:rsid w:val="00590CF9"/>
    <w:rsid w:val="005D435E"/>
    <w:rsid w:val="005D6E3D"/>
    <w:rsid w:val="005E5C53"/>
    <w:rsid w:val="005F6E66"/>
    <w:rsid w:val="006108D3"/>
    <w:rsid w:val="00625C53"/>
    <w:rsid w:val="0063237A"/>
    <w:rsid w:val="00644125"/>
    <w:rsid w:val="006839B9"/>
    <w:rsid w:val="00687AD5"/>
    <w:rsid w:val="0069575C"/>
    <w:rsid w:val="006A61EA"/>
    <w:rsid w:val="006B78C2"/>
    <w:rsid w:val="006E6BB9"/>
    <w:rsid w:val="006F01B1"/>
    <w:rsid w:val="006F0D2F"/>
    <w:rsid w:val="0070709E"/>
    <w:rsid w:val="00713280"/>
    <w:rsid w:val="00732B06"/>
    <w:rsid w:val="00743986"/>
    <w:rsid w:val="00745F25"/>
    <w:rsid w:val="007760F2"/>
    <w:rsid w:val="0078229B"/>
    <w:rsid w:val="00792481"/>
    <w:rsid w:val="007A079C"/>
    <w:rsid w:val="007A3C8A"/>
    <w:rsid w:val="007C78E2"/>
    <w:rsid w:val="007F2016"/>
    <w:rsid w:val="0083558E"/>
    <w:rsid w:val="00863E04"/>
    <w:rsid w:val="00865AE4"/>
    <w:rsid w:val="008737AB"/>
    <w:rsid w:val="00876C35"/>
    <w:rsid w:val="008A59C8"/>
    <w:rsid w:val="008D5DF7"/>
    <w:rsid w:val="00901087"/>
    <w:rsid w:val="00934BB4"/>
    <w:rsid w:val="00936C0B"/>
    <w:rsid w:val="00950803"/>
    <w:rsid w:val="00953305"/>
    <w:rsid w:val="00961878"/>
    <w:rsid w:val="00965D34"/>
    <w:rsid w:val="00970563"/>
    <w:rsid w:val="009810B7"/>
    <w:rsid w:val="009A6207"/>
    <w:rsid w:val="00A109F9"/>
    <w:rsid w:val="00A140F4"/>
    <w:rsid w:val="00A154FE"/>
    <w:rsid w:val="00A36395"/>
    <w:rsid w:val="00A947EE"/>
    <w:rsid w:val="00AA108D"/>
    <w:rsid w:val="00AA1DCC"/>
    <w:rsid w:val="00AB63B5"/>
    <w:rsid w:val="00AC0770"/>
    <w:rsid w:val="00AD6C41"/>
    <w:rsid w:val="00B071BC"/>
    <w:rsid w:val="00B13165"/>
    <w:rsid w:val="00B34798"/>
    <w:rsid w:val="00B35320"/>
    <w:rsid w:val="00B444F7"/>
    <w:rsid w:val="00B5105B"/>
    <w:rsid w:val="00B53EB0"/>
    <w:rsid w:val="00BA1788"/>
    <w:rsid w:val="00BA3C4D"/>
    <w:rsid w:val="00BB2433"/>
    <w:rsid w:val="00BC04AE"/>
    <w:rsid w:val="00BC7268"/>
    <w:rsid w:val="00BD34AD"/>
    <w:rsid w:val="00BF0076"/>
    <w:rsid w:val="00BF77F9"/>
    <w:rsid w:val="00C04711"/>
    <w:rsid w:val="00C23F5C"/>
    <w:rsid w:val="00C343ED"/>
    <w:rsid w:val="00C515FA"/>
    <w:rsid w:val="00C63353"/>
    <w:rsid w:val="00C74206"/>
    <w:rsid w:val="00C8574D"/>
    <w:rsid w:val="00C86D3E"/>
    <w:rsid w:val="00C94EAF"/>
    <w:rsid w:val="00CB1CE6"/>
    <w:rsid w:val="00CB5ED0"/>
    <w:rsid w:val="00CC1E2B"/>
    <w:rsid w:val="00CD1317"/>
    <w:rsid w:val="00CE1217"/>
    <w:rsid w:val="00CE60BB"/>
    <w:rsid w:val="00D260FF"/>
    <w:rsid w:val="00D3270E"/>
    <w:rsid w:val="00D32A79"/>
    <w:rsid w:val="00D40837"/>
    <w:rsid w:val="00D7139C"/>
    <w:rsid w:val="00D926D5"/>
    <w:rsid w:val="00DB515F"/>
    <w:rsid w:val="00DF3368"/>
    <w:rsid w:val="00E131A1"/>
    <w:rsid w:val="00E13E6A"/>
    <w:rsid w:val="00E32CD7"/>
    <w:rsid w:val="00E42DC4"/>
    <w:rsid w:val="00E47C57"/>
    <w:rsid w:val="00E576C2"/>
    <w:rsid w:val="00E82705"/>
    <w:rsid w:val="00E92129"/>
    <w:rsid w:val="00E956EC"/>
    <w:rsid w:val="00ED125B"/>
    <w:rsid w:val="00ED5312"/>
    <w:rsid w:val="00EE2AED"/>
    <w:rsid w:val="00EF4319"/>
    <w:rsid w:val="00F150E8"/>
    <w:rsid w:val="00F728FC"/>
    <w:rsid w:val="00F8160F"/>
    <w:rsid w:val="00F91C90"/>
    <w:rsid w:val="00FD682A"/>
    <w:rsid w:val="00FE27C1"/>
    <w:rsid w:val="00FE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143A"/>
  <w15:chartTrackingRefBased/>
  <w15:docId w15:val="{93F3FB67-B844-430E-94F6-414658E7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79"/>
    <w:pPr>
      <w:spacing w:after="0" w:line="276" w:lineRule="auto"/>
      <w:jc w:val="both"/>
    </w:pPr>
    <w:rPr>
      <w:rFonts w:ascii="Open Sans" w:hAnsi="Open Sans"/>
      <w:kern w:val="0"/>
      <w14:ligatures w14:val="none"/>
    </w:rPr>
  </w:style>
  <w:style w:type="paragraph" w:styleId="Heading1">
    <w:name w:val="heading 1"/>
    <w:basedOn w:val="Normal"/>
    <w:next w:val="Normal"/>
    <w:link w:val="Heading1Char"/>
    <w:uiPriority w:val="9"/>
    <w:qFormat/>
    <w:rsid w:val="00D32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2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A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A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A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A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2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A79"/>
    <w:rPr>
      <w:rFonts w:eastAsiaTheme="majorEastAsia" w:cstheme="majorBidi"/>
      <w:color w:val="272727" w:themeColor="text1" w:themeTint="D8"/>
    </w:rPr>
  </w:style>
  <w:style w:type="paragraph" w:styleId="Title">
    <w:name w:val="Title"/>
    <w:basedOn w:val="Normal"/>
    <w:next w:val="Normal"/>
    <w:link w:val="TitleChar"/>
    <w:uiPriority w:val="10"/>
    <w:qFormat/>
    <w:rsid w:val="00D32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A79"/>
    <w:pPr>
      <w:spacing w:before="160"/>
      <w:jc w:val="center"/>
    </w:pPr>
    <w:rPr>
      <w:i/>
      <w:iCs/>
      <w:color w:val="404040" w:themeColor="text1" w:themeTint="BF"/>
    </w:rPr>
  </w:style>
  <w:style w:type="character" w:customStyle="1" w:styleId="QuoteChar">
    <w:name w:val="Quote Char"/>
    <w:basedOn w:val="DefaultParagraphFont"/>
    <w:link w:val="Quote"/>
    <w:uiPriority w:val="29"/>
    <w:rsid w:val="00D32A79"/>
    <w:rPr>
      <w:i/>
      <w:iCs/>
      <w:color w:val="404040" w:themeColor="text1" w:themeTint="BF"/>
    </w:rPr>
  </w:style>
  <w:style w:type="paragraph" w:styleId="ListParagraph">
    <w:name w:val="List Paragraph"/>
    <w:basedOn w:val="Normal"/>
    <w:uiPriority w:val="34"/>
    <w:qFormat/>
    <w:rsid w:val="00D32A79"/>
    <w:pPr>
      <w:ind w:left="720"/>
      <w:contextualSpacing/>
    </w:pPr>
  </w:style>
  <w:style w:type="character" w:styleId="IntenseEmphasis">
    <w:name w:val="Intense Emphasis"/>
    <w:basedOn w:val="DefaultParagraphFont"/>
    <w:uiPriority w:val="21"/>
    <w:qFormat/>
    <w:rsid w:val="00D32A79"/>
    <w:rPr>
      <w:i/>
      <w:iCs/>
      <w:color w:val="0F4761" w:themeColor="accent1" w:themeShade="BF"/>
    </w:rPr>
  </w:style>
  <w:style w:type="paragraph" w:styleId="IntenseQuote">
    <w:name w:val="Intense Quote"/>
    <w:basedOn w:val="Normal"/>
    <w:next w:val="Normal"/>
    <w:link w:val="IntenseQuoteChar"/>
    <w:uiPriority w:val="30"/>
    <w:qFormat/>
    <w:rsid w:val="00D32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A79"/>
    <w:rPr>
      <w:i/>
      <w:iCs/>
      <w:color w:val="0F4761" w:themeColor="accent1" w:themeShade="BF"/>
    </w:rPr>
  </w:style>
  <w:style w:type="character" w:styleId="IntenseReference">
    <w:name w:val="Intense Reference"/>
    <w:basedOn w:val="DefaultParagraphFont"/>
    <w:uiPriority w:val="32"/>
    <w:qFormat/>
    <w:rsid w:val="00D32A79"/>
    <w:rPr>
      <w:b/>
      <w:bCs/>
      <w:smallCaps/>
      <w:color w:val="0F4761" w:themeColor="accent1" w:themeShade="BF"/>
      <w:spacing w:val="5"/>
    </w:rPr>
  </w:style>
  <w:style w:type="table" w:styleId="TableGrid">
    <w:name w:val="Table Grid"/>
    <w:basedOn w:val="TableNormal"/>
    <w:uiPriority w:val="59"/>
    <w:rsid w:val="00D32A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32A79"/>
    <w:pPr>
      <w:tabs>
        <w:tab w:val="center" w:pos="4513"/>
        <w:tab w:val="right" w:pos="9026"/>
      </w:tabs>
      <w:spacing w:line="240" w:lineRule="auto"/>
    </w:pPr>
  </w:style>
  <w:style w:type="character" w:customStyle="1" w:styleId="HeaderChar">
    <w:name w:val="Header Char"/>
    <w:basedOn w:val="DefaultParagraphFont"/>
    <w:link w:val="Header"/>
    <w:rsid w:val="00D32A79"/>
    <w:rPr>
      <w:rFonts w:ascii="Open Sans" w:hAnsi="Open Sans"/>
      <w:kern w:val="0"/>
      <w14:ligatures w14:val="none"/>
    </w:rPr>
  </w:style>
  <w:style w:type="paragraph" w:styleId="Footer">
    <w:name w:val="footer"/>
    <w:basedOn w:val="Normal"/>
    <w:link w:val="FooterChar"/>
    <w:uiPriority w:val="99"/>
    <w:unhideWhenUsed/>
    <w:rsid w:val="00D32A79"/>
    <w:pPr>
      <w:tabs>
        <w:tab w:val="center" w:pos="4513"/>
        <w:tab w:val="right" w:pos="9026"/>
      </w:tabs>
      <w:spacing w:line="240" w:lineRule="auto"/>
    </w:pPr>
  </w:style>
  <w:style w:type="character" w:customStyle="1" w:styleId="FooterChar">
    <w:name w:val="Footer Char"/>
    <w:basedOn w:val="DefaultParagraphFont"/>
    <w:link w:val="Footer"/>
    <w:uiPriority w:val="99"/>
    <w:rsid w:val="00D32A79"/>
    <w:rPr>
      <w:rFonts w:ascii="Open Sans" w:hAnsi="Open Sans"/>
      <w:kern w:val="0"/>
      <w14:ligatures w14:val="none"/>
    </w:rPr>
  </w:style>
  <w:style w:type="paragraph" w:styleId="BalloonText">
    <w:name w:val="Balloon Text"/>
    <w:basedOn w:val="Normal"/>
    <w:link w:val="BalloonTextChar"/>
    <w:uiPriority w:val="99"/>
    <w:semiHidden/>
    <w:unhideWhenUsed/>
    <w:rsid w:val="00D32A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79"/>
    <w:rPr>
      <w:rFonts w:ascii="Segoe UI" w:hAnsi="Segoe UI" w:cs="Segoe UI"/>
      <w:kern w:val="0"/>
      <w:sz w:val="18"/>
      <w:szCs w:val="18"/>
      <w14:ligatures w14:val="none"/>
    </w:rPr>
  </w:style>
  <w:style w:type="paragraph" w:styleId="Revision">
    <w:name w:val="Revision"/>
    <w:hidden/>
    <w:uiPriority w:val="99"/>
    <w:semiHidden/>
    <w:rsid w:val="00D32A79"/>
    <w:pPr>
      <w:spacing w:after="0" w:line="240" w:lineRule="auto"/>
    </w:pPr>
    <w:rPr>
      <w:kern w:val="0"/>
      <w14:ligatures w14:val="none"/>
    </w:rPr>
  </w:style>
  <w:style w:type="paragraph" w:styleId="TOCHeading">
    <w:name w:val="TOC Heading"/>
    <w:basedOn w:val="Heading1"/>
    <w:next w:val="Normal"/>
    <w:uiPriority w:val="39"/>
    <w:unhideWhenUsed/>
    <w:qFormat/>
    <w:rsid w:val="00D32A79"/>
    <w:pPr>
      <w:spacing w:before="240" w:after="0"/>
      <w:ind w:left="720" w:hanging="360"/>
      <w:outlineLvl w:val="9"/>
    </w:pPr>
    <w:rPr>
      <w:rFonts w:ascii="Open Sans" w:hAnsi="Open Sans" w:cs="Open Sans"/>
      <w:b/>
      <w:sz w:val="32"/>
      <w:szCs w:val="32"/>
      <w:lang w:val="en-US"/>
    </w:rPr>
  </w:style>
  <w:style w:type="paragraph" w:styleId="TOC1">
    <w:name w:val="toc 1"/>
    <w:basedOn w:val="Normal"/>
    <w:next w:val="Normal"/>
    <w:autoRedefine/>
    <w:uiPriority w:val="39"/>
    <w:unhideWhenUsed/>
    <w:rsid w:val="00D32A79"/>
    <w:pPr>
      <w:tabs>
        <w:tab w:val="left" w:pos="660"/>
        <w:tab w:val="right" w:leader="dot" w:pos="9016"/>
      </w:tabs>
      <w:spacing w:after="100"/>
    </w:pPr>
    <w:rPr>
      <w:rFonts w:eastAsia="Times New Roman" w:cs="Open Sans"/>
      <w:noProof/>
      <w:kern w:val="32"/>
      <w:lang w:eastAsia="en-GB"/>
    </w:rPr>
  </w:style>
  <w:style w:type="character" w:styleId="Hyperlink">
    <w:name w:val="Hyperlink"/>
    <w:basedOn w:val="DefaultParagraphFont"/>
    <w:uiPriority w:val="99"/>
    <w:unhideWhenUsed/>
    <w:rsid w:val="00D32A79"/>
    <w:rPr>
      <w:color w:val="467886" w:themeColor="hyperlink"/>
      <w:u w:val="single"/>
    </w:rPr>
  </w:style>
  <w:style w:type="paragraph" w:styleId="TOC2">
    <w:name w:val="toc 2"/>
    <w:basedOn w:val="Normal"/>
    <w:next w:val="Normal"/>
    <w:autoRedefine/>
    <w:uiPriority w:val="39"/>
    <w:unhideWhenUsed/>
    <w:rsid w:val="00D32A79"/>
    <w:pPr>
      <w:spacing w:after="100"/>
      <w:ind w:left="220"/>
    </w:pPr>
  </w:style>
  <w:style w:type="character" w:styleId="CommentReference">
    <w:name w:val="annotation reference"/>
    <w:basedOn w:val="DefaultParagraphFont"/>
    <w:uiPriority w:val="99"/>
    <w:semiHidden/>
    <w:unhideWhenUsed/>
    <w:rsid w:val="00D32A79"/>
    <w:rPr>
      <w:sz w:val="16"/>
      <w:szCs w:val="16"/>
    </w:rPr>
  </w:style>
  <w:style w:type="paragraph" w:styleId="CommentText">
    <w:name w:val="annotation text"/>
    <w:basedOn w:val="Normal"/>
    <w:link w:val="CommentTextChar"/>
    <w:uiPriority w:val="99"/>
    <w:unhideWhenUsed/>
    <w:rsid w:val="00D32A79"/>
    <w:pPr>
      <w:spacing w:line="240" w:lineRule="auto"/>
    </w:pPr>
    <w:rPr>
      <w:sz w:val="20"/>
      <w:szCs w:val="20"/>
    </w:rPr>
  </w:style>
  <w:style w:type="character" w:customStyle="1" w:styleId="CommentTextChar">
    <w:name w:val="Comment Text Char"/>
    <w:basedOn w:val="DefaultParagraphFont"/>
    <w:link w:val="CommentText"/>
    <w:uiPriority w:val="99"/>
    <w:rsid w:val="00D32A79"/>
    <w:rPr>
      <w:rFonts w:ascii="Open Sans" w:hAnsi="Open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2A79"/>
    <w:rPr>
      <w:b/>
      <w:bCs/>
    </w:rPr>
  </w:style>
  <w:style w:type="character" w:customStyle="1" w:styleId="CommentSubjectChar">
    <w:name w:val="Comment Subject Char"/>
    <w:basedOn w:val="CommentTextChar"/>
    <w:link w:val="CommentSubject"/>
    <w:uiPriority w:val="99"/>
    <w:semiHidden/>
    <w:rsid w:val="00D32A79"/>
    <w:rPr>
      <w:rFonts w:ascii="Open Sans" w:hAnsi="Open Sans"/>
      <w:b/>
      <w:bCs/>
      <w:kern w:val="0"/>
      <w:sz w:val="20"/>
      <w:szCs w:val="20"/>
      <w14:ligatures w14:val="none"/>
    </w:rPr>
  </w:style>
  <w:style w:type="paragraph" w:customStyle="1" w:styleId="21Bullet1">
    <w:name w:val="2.1 Bullet 1"/>
    <w:basedOn w:val="Normal"/>
    <w:qFormat/>
    <w:rsid w:val="00C23F5C"/>
    <w:pPr>
      <w:numPr>
        <w:numId w:val="19"/>
      </w:numPr>
      <w:spacing w:after="120" w:line="240" w:lineRule="auto"/>
      <w:ind w:left="284" w:hanging="284"/>
      <w:jc w:val="left"/>
    </w:pPr>
    <w:rPr>
      <w:rFonts w:ascii="Calibri" w:eastAsia="Calibri" w:hAnsi="Calibri" w:cs="Times New Roman"/>
      <w:color w:val="000000" w:themeColor="text1"/>
      <w:lang w:eastAsia="en-GB"/>
    </w:rPr>
  </w:style>
  <w:style w:type="paragraph" w:customStyle="1" w:styleId="30Tabletext">
    <w:name w:val="3.0 Table text"/>
    <w:basedOn w:val="Normal"/>
    <w:link w:val="30TabletextChar"/>
    <w:qFormat/>
    <w:rsid w:val="00C23F5C"/>
    <w:pPr>
      <w:spacing w:before="60" w:after="60" w:line="240" w:lineRule="auto"/>
      <w:jc w:val="left"/>
    </w:pPr>
    <w:rPr>
      <w:rFonts w:asciiTheme="minorHAnsi" w:eastAsia="Calibri" w:hAnsiTheme="minorHAnsi" w:cs="Times New Roman"/>
      <w:color w:val="000000" w:themeColor="text1"/>
      <w:lang w:val="en" w:eastAsia="en-GB"/>
    </w:rPr>
  </w:style>
  <w:style w:type="character" w:customStyle="1" w:styleId="30TabletextChar">
    <w:name w:val="3.0 Table text Char"/>
    <w:basedOn w:val="DefaultParagraphFont"/>
    <w:link w:val="30Tabletext"/>
    <w:rsid w:val="00C23F5C"/>
    <w:rPr>
      <w:rFonts w:eastAsia="Calibri" w:cs="Times New Roman"/>
      <w:color w:val="000000" w:themeColor="text1"/>
      <w:kern w:val="0"/>
      <w:lang w:val="en" w:eastAsia="en-GB"/>
      <w14:ligatures w14:val="none"/>
    </w:rPr>
  </w:style>
  <w:style w:type="character" w:styleId="UnresolvedMention">
    <w:name w:val="Unresolved Mention"/>
    <w:basedOn w:val="DefaultParagraphFont"/>
    <w:uiPriority w:val="99"/>
    <w:semiHidden/>
    <w:unhideWhenUsed/>
    <w:rsid w:val="001B2D5E"/>
    <w:rPr>
      <w:color w:val="605E5C"/>
      <w:shd w:val="clear" w:color="auto" w:fill="E1DFDD"/>
    </w:rPr>
  </w:style>
  <w:style w:type="character" w:styleId="Strong">
    <w:name w:val="Strong"/>
    <w:basedOn w:val="DefaultParagraphFont"/>
    <w:uiPriority w:val="22"/>
    <w:qFormat/>
    <w:rsid w:val="0017223A"/>
    <w:rPr>
      <w:b/>
      <w:bCs/>
    </w:rPr>
  </w:style>
  <w:style w:type="paragraph" w:styleId="NormalWeb">
    <w:name w:val="Normal (Web)"/>
    <w:basedOn w:val="Normal"/>
    <w:uiPriority w:val="99"/>
    <w:semiHidden/>
    <w:unhideWhenUsed/>
    <w:rsid w:val="0017223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BB2433"/>
    <w:pPr>
      <w:spacing w:after="100"/>
      <w:ind w:left="440"/>
    </w:pPr>
  </w:style>
  <w:style w:type="paragraph" w:customStyle="1" w:styleId="TemplateHeaderReplace">
    <w:name w:val="Template Header Replace"/>
    <w:basedOn w:val="Normal"/>
    <w:qFormat/>
    <w:rsid w:val="002B2F13"/>
    <w:pPr>
      <w:spacing w:after="210" w:line="264" w:lineRule="auto"/>
      <w:ind w:left="-567"/>
    </w:pPr>
    <w:rPr>
      <w:rFonts w:ascii="Arial" w:eastAsia="Times New Roman" w:hAnsi="Arial" w:cstheme="minorHAnsi"/>
      <w:b/>
      <w:color w:val="156082" w:themeColor="accent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472">
      <w:bodyDiv w:val="1"/>
      <w:marLeft w:val="0"/>
      <w:marRight w:val="0"/>
      <w:marTop w:val="0"/>
      <w:marBottom w:val="0"/>
      <w:divBdr>
        <w:top w:val="none" w:sz="0" w:space="0" w:color="auto"/>
        <w:left w:val="none" w:sz="0" w:space="0" w:color="auto"/>
        <w:bottom w:val="none" w:sz="0" w:space="0" w:color="auto"/>
        <w:right w:val="none" w:sz="0" w:space="0" w:color="auto"/>
      </w:divBdr>
    </w:div>
    <w:div w:id="68578089">
      <w:bodyDiv w:val="1"/>
      <w:marLeft w:val="0"/>
      <w:marRight w:val="0"/>
      <w:marTop w:val="0"/>
      <w:marBottom w:val="0"/>
      <w:divBdr>
        <w:top w:val="none" w:sz="0" w:space="0" w:color="auto"/>
        <w:left w:val="none" w:sz="0" w:space="0" w:color="auto"/>
        <w:bottom w:val="none" w:sz="0" w:space="0" w:color="auto"/>
        <w:right w:val="none" w:sz="0" w:space="0" w:color="auto"/>
      </w:divBdr>
    </w:div>
    <w:div w:id="93551045">
      <w:bodyDiv w:val="1"/>
      <w:marLeft w:val="0"/>
      <w:marRight w:val="0"/>
      <w:marTop w:val="0"/>
      <w:marBottom w:val="0"/>
      <w:divBdr>
        <w:top w:val="none" w:sz="0" w:space="0" w:color="auto"/>
        <w:left w:val="none" w:sz="0" w:space="0" w:color="auto"/>
        <w:bottom w:val="none" w:sz="0" w:space="0" w:color="auto"/>
        <w:right w:val="none" w:sz="0" w:space="0" w:color="auto"/>
      </w:divBdr>
    </w:div>
    <w:div w:id="95904114">
      <w:bodyDiv w:val="1"/>
      <w:marLeft w:val="0"/>
      <w:marRight w:val="0"/>
      <w:marTop w:val="0"/>
      <w:marBottom w:val="0"/>
      <w:divBdr>
        <w:top w:val="none" w:sz="0" w:space="0" w:color="auto"/>
        <w:left w:val="none" w:sz="0" w:space="0" w:color="auto"/>
        <w:bottom w:val="none" w:sz="0" w:space="0" w:color="auto"/>
        <w:right w:val="none" w:sz="0" w:space="0" w:color="auto"/>
      </w:divBdr>
    </w:div>
    <w:div w:id="102923095">
      <w:bodyDiv w:val="1"/>
      <w:marLeft w:val="0"/>
      <w:marRight w:val="0"/>
      <w:marTop w:val="0"/>
      <w:marBottom w:val="0"/>
      <w:divBdr>
        <w:top w:val="none" w:sz="0" w:space="0" w:color="auto"/>
        <w:left w:val="none" w:sz="0" w:space="0" w:color="auto"/>
        <w:bottom w:val="none" w:sz="0" w:space="0" w:color="auto"/>
        <w:right w:val="none" w:sz="0" w:space="0" w:color="auto"/>
      </w:divBdr>
    </w:div>
    <w:div w:id="143621640">
      <w:bodyDiv w:val="1"/>
      <w:marLeft w:val="0"/>
      <w:marRight w:val="0"/>
      <w:marTop w:val="0"/>
      <w:marBottom w:val="0"/>
      <w:divBdr>
        <w:top w:val="none" w:sz="0" w:space="0" w:color="auto"/>
        <w:left w:val="none" w:sz="0" w:space="0" w:color="auto"/>
        <w:bottom w:val="none" w:sz="0" w:space="0" w:color="auto"/>
        <w:right w:val="none" w:sz="0" w:space="0" w:color="auto"/>
      </w:divBdr>
    </w:div>
    <w:div w:id="243102917">
      <w:bodyDiv w:val="1"/>
      <w:marLeft w:val="0"/>
      <w:marRight w:val="0"/>
      <w:marTop w:val="0"/>
      <w:marBottom w:val="0"/>
      <w:divBdr>
        <w:top w:val="none" w:sz="0" w:space="0" w:color="auto"/>
        <w:left w:val="none" w:sz="0" w:space="0" w:color="auto"/>
        <w:bottom w:val="none" w:sz="0" w:space="0" w:color="auto"/>
        <w:right w:val="none" w:sz="0" w:space="0" w:color="auto"/>
      </w:divBdr>
      <w:divsChild>
        <w:div w:id="25915780">
          <w:marLeft w:val="0"/>
          <w:marRight w:val="0"/>
          <w:marTop w:val="0"/>
          <w:marBottom w:val="0"/>
          <w:divBdr>
            <w:top w:val="none" w:sz="0" w:space="0" w:color="auto"/>
            <w:left w:val="none" w:sz="0" w:space="0" w:color="auto"/>
            <w:bottom w:val="none" w:sz="0" w:space="0" w:color="auto"/>
            <w:right w:val="none" w:sz="0" w:space="0" w:color="auto"/>
          </w:divBdr>
          <w:divsChild>
            <w:div w:id="5262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63">
      <w:bodyDiv w:val="1"/>
      <w:marLeft w:val="0"/>
      <w:marRight w:val="0"/>
      <w:marTop w:val="0"/>
      <w:marBottom w:val="0"/>
      <w:divBdr>
        <w:top w:val="none" w:sz="0" w:space="0" w:color="auto"/>
        <w:left w:val="none" w:sz="0" w:space="0" w:color="auto"/>
        <w:bottom w:val="none" w:sz="0" w:space="0" w:color="auto"/>
        <w:right w:val="none" w:sz="0" w:space="0" w:color="auto"/>
      </w:divBdr>
    </w:div>
    <w:div w:id="417747639">
      <w:bodyDiv w:val="1"/>
      <w:marLeft w:val="0"/>
      <w:marRight w:val="0"/>
      <w:marTop w:val="0"/>
      <w:marBottom w:val="0"/>
      <w:divBdr>
        <w:top w:val="none" w:sz="0" w:space="0" w:color="auto"/>
        <w:left w:val="none" w:sz="0" w:space="0" w:color="auto"/>
        <w:bottom w:val="none" w:sz="0" w:space="0" w:color="auto"/>
        <w:right w:val="none" w:sz="0" w:space="0" w:color="auto"/>
      </w:divBdr>
    </w:div>
    <w:div w:id="431632752">
      <w:bodyDiv w:val="1"/>
      <w:marLeft w:val="0"/>
      <w:marRight w:val="0"/>
      <w:marTop w:val="0"/>
      <w:marBottom w:val="0"/>
      <w:divBdr>
        <w:top w:val="none" w:sz="0" w:space="0" w:color="auto"/>
        <w:left w:val="none" w:sz="0" w:space="0" w:color="auto"/>
        <w:bottom w:val="none" w:sz="0" w:space="0" w:color="auto"/>
        <w:right w:val="none" w:sz="0" w:space="0" w:color="auto"/>
      </w:divBdr>
    </w:div>
    <w:div w:id="453402332">
      <w:bodyDiv w:val="1"/>
      <w:marLeft w:val="0"/>
      <w:marRight w:val="0"/>
      <w:marTop w:val="0"/>
      <w:marBottom w:val="0"/>
      <w:divBdr>
        <w:top w:val="none" w:sz="0" w:space="0" w:color="auto"/>
        <w:left w:val="none" w:sz="0" w:space="0" w:color="auto"/>
        <w:bottom w:val="none" w:sz="0" w:space="0" w:color="auto"/>
        <w:right w:val="none" w:sz="0" w:space="0" w:color="auto"/>
      </w:divBdr>
    </w:div>
    <w:div w:id="457337036">
      <w:bodyDiv w:val="1"/>
      <w:marLeft w:val="0"/>
      <w:marRight w:val="0"/>
      <w:marTop w:val="0"/>
      <w:marBottom w:val="0"/>
      <w:divBdr>
        <w:top w:val="none" w:sz="0" w:space="0" w:color="auto"/>
        <w:left w:val="none" w:sz="0" w:space="0" w:color="auto"/>
        <w:bottom w:val="none" w:sz="0" w:space="0" w:color="auto"/>
        <w:right w:val="none" w:sz="0" w:space="0" w:color="auto"/>
      </w:divBdr>
      <w:divsChild>
        <w:div w:id="1355307749">
          <w:marLeft w:val="0"/>
          <w:marRight w:val="0"/>
          <w:marTop w:val="0"/>
          <w:marBottom w:val="0"/>
          <w:divBdr>
            <w:top w:val="none" w:sz="0" w:space="0" w:color="auto"/>
            <w:left w:val="none" w:sz="0" w:space="0" w:color="auto"/>
            <w:bottom w:val="none" w:sz="0" w:space="0" w:color="auto"/>
            <w:right w:val="none" w:sz="0" w:space="0" w:color="auto"/>
          </w:divBdr>
          <w:divsChild>
            <w:div w:id="6610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9440">
      <w:bodyDiv w:val="1"/>
      <w:marLeft w:val="0"/>
      <w:marRight w:val="0"/>
      <w:marTop w:val="0"/>
      <w:marBottom w:val="0"/>
      <w:divBdr>
        <w:top w:val="none" w:sz="0" w:space="0" w:color="auto"/>
        <w:left w:val="none" w:sz="0" w:space="0" w:color="auto"/>
        <w:bottom w:val="none" w:sz="0" w:space="0" w:color="auto"/>
        <w:right w:val="none" w:sz="0" w:space="0" w:color="auto"/>
      </w:divBdr>
    </w:div>
    <w:div w:id="518859956">
      <w:bodyDiv w:val="1"/>
      <w:marLeft w:val="0"/>
      <w:marRight w:val="0"/>
      <w:marTop w:val="0"/>
      <w:marBottom w:val="0"/>
      <w:divBdr>
        <w:top w:val="none" w:sz="0" w:space="0" w:color="auto"/>
        <w:left w:val="none" w:sz="0" w:space="0" w:color="auto"/>
        <w:bottom w:val="none" w:sz="0" w:space="0" w:color="auto"/>
        <w:right w:val="none" w:sz="0" w:space="0" w:color="auto"/>
      </w:divBdr>
    </w:div>
    <w:div w:id="566577155">
      <w:bodyDiv w:val="1"/>
      <w:marLeft w:val="0"/>
      <w:marRight w:val="0"/>
      <w:marTop w:val="0"/>
      <w:marBottom w:val="0"/>
      <w:divBdr>
        <w:top w:val="none" w:sz="0" w:space="0" w:color="auto"/>
        <w:left w:val="none" w:sz="0" w:space="0" w:color="auto"/>
        <w:bottom w:val="none" w:sz="0" w:space="0" w:color="auto"/>
        <w:right w:val="none" w:sz="0" w:space="0" w:color="auto"/>
      </w:divBdr>
    </w:div>
    <w:div w:id="597837618">
      <w:bodyDiv w:val="1"/>
      <w:marLeft w:val="0"/>
      <w:marRight w:val="0"/>
      <w:marTop w:val="0"/>
      <w:marBottom w:val="0"/>
      <w:divBdr>
        <w:top w:val="none" w:sz="0" w:space="0" w:color="auto"/>
        <w:left w:val="none" w:sz="0" w:space="0" w:color="auto"/>
        <w:bottom w:val="none" w:sz="0" w:space="0" w:color="auto"/>
        <w:right w:val="none" w:sz="0" w:space="0" w:color="auto"/>
      </w:divBdr>
    </w:div>
    <w:div w:id="611204548">
      <w:bodyDiv w:val="1"/>
      <w:marLeft w:val="0"/>
      <w:marRight w:val="0"/>
      <w:marTop w:val="0"/>
      <w:marBottom w:val="0"/>
      <w:divBdr>
        <w:top w:val="none" w:sz="0" w:space="0" w:color="auto"/>
        <w:left w:val="none" w:sz="0" w:space="0" w:color="auto"/>
        <w:bottom w:val="none" w:sz="0" w:space="0" w:color="auto"/>
        <w:right w:val="none" w:sz="0" w:space="0" w:color="auto"/>
      </w:divBdr>
    </w:div>
    <w:div w:id="659044587">
      <w:bodyDiv w:val="1"/>
      <w:marLeft w:val="0"/>
      <w:marRight w:val="0"/>
      <w:marTop w:val="0"/>
      <w:marBottom w:val="0"/>
      <w:divBdr>
        <w:top w:val="none" w:sz="0" w:space="0" w:color="auto"/>
        <w:left w:val="none" w:sz="0" w:space="0" w:color="auto"/>
        <w:bottom w:val="none" w:sz="0" w:space="0" w:color="auto"/>
        <w:right w:val="none" w:sz="0" w:space="0" w:color="auto"/>
      </w:divBdr>
      <w:divsChild>
        <w:div w:id="759064361">
          <w:marLeft w:val="0"/>
          <w:marRight w:val="0"/>
          <w:marTop w:val="0"/>
          <w:marBottom w:val="0"/>
          <w:divBdr>
            <w:top w:val="none" w:sz="0" w:space="0" w:color="auto"/>
            <w:left w:val="none" w:sz="0" w:space="0" w:color="auto"/>
            <w:bottom w:val="none" w:sz="0" w:space="0" w:color="auto"/>
            <w:right w:val="none" w:sz="0" w:space="0" w:color="auto"/>
          </w:divBdr>
          <w:divsChild>
            <w:div w:id="5950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4001">
      <w:bodyDiv w:val="1"/>
      <w:marLeft w:val="0"/>
      <w:marRight w:val="0"/>
      <w:marTop w:val="0"/>
      <w:marBottom w:val="0"/>
      <w:divBdr>
        <w:top w:val="none" w:sz="0" w:space="0" w:color="auto"/>
        <w:left w:val="none" w:sz="0" w:space="0" w:color="auto"/>
        <w:bottom w:val="none" w:sz="0" w:space="0" w:color="auto"/>
        <w:right w:val="none" w:sz="0" w:space="0" w:color="auto"/>
      </w:divBdr>
    </w:div>
    <w:div w:id="719741953">
      <w:bodyDiv w:val="1"/>
      <w:marLeft w:val="0"/>
      <w:marRight w:val="0"/>
      <w:marTop w:val="0"/>
      <w:marBottom w:val="0"/>
      <w:divBdr>
        <w:top w:val="none" w:sz="0" w:space="0" w:color="auto"/>
        <w:left w:val="none" w:sz="0" w:space="0" w:color="auto"/>
        <w:bottom w:val="none" w:sz="0" w:space="0" w:color="auto"/>
        <w:right w:val="none" w:sz="0" w:space="0" w:color="auto"/>
      </w:divBdr>
    </w:div>
    <w:div w:id="755395123">
      <w:bodyDiv w:val="1"/>
      <w:marLeft w:val="0"/>
      <w:marRight w:val="0"/>
      <w:marTop w:val="0"/>
      <w:marBottom w:val="0"/>
      <w:divBdr>
        <w:top w:val="none" w:sz="0" w:space="0" w:color="auto"/>
        <w:left w:val="none" w:sz="0" w:space="0" w:color="auto"/>
        <w:bottom w:val="none" w:sz="0" w:space="0" w:color="auto"/>
        <w:right w:val="none" w:sz="0" w:space="0" w:color="auto"/>
      </w:divBdr>
    </w:div>
    <w:div w:id="758646362">
      <w:bodyDiv w:val="1"/>
      <w:marLeft w:val="0"/>
      <w:marRight w:val="0"/>
      <w:marTop w:val="0"/>
      <w:marBottom w:val="0"/>
      <w:divBdr>
        <w:top w:val="none" w:sz="0" w:space="0" w:color="auto"/>
        <w:left w:val="none" w:sz="0" w:space="0" w:color="auto"/>
        <w:bottom w:val="none" w:sz="0" w:space="0" w:color="auto"/>
        <w:right w:val="none" w:sz="0" w:space="0" w:color="auto"/>
      </w:divBdr>
      <w:divsChild>
        <w:div w:id="1232809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294947">
      <w:bodyDiv w:val="1"/>
      <w:marLeft w:val="0"/>
      <w:marRight w:val="0"/>
      <w:marTop w:val="0"/>
      <w:marBottom w:val="0"/>
      <w:divBdr>
        <w:top w:val="none" w:sz="0" w:space="0" w:color="auto"/>
        <w:left w:val="none" w:sz="0" w:space="0" w:color="auto"/>
        <w:bottom w:val="none" w:sz="0" w:space="0" w:color="auto"/>
        <w:right w:val="none" w:sz="0" w:space="0" w:color="auto"/>
      </w:divBdr>
    </w:div>
    <w:div w:id="832063787">
      <w:bodyDiv w:val="1"/>
      <w:marLeft w:val="0"/>
      <w:marRight w:val="0"/>
      <w:marTop w:val="0"/>
      <w:marBottom w:val="0"/>
      <w:divBdr>
        <w:top w:val="none" w:sz="0" w:space="0" w:color="auto"/>
        <w:left w:val="none" w:sz="0" w:space="0" w:color="auto"/>
        <w:bottom w:val="none" w:sz="0" w:space="0" w:color="auto"/>
        <w:right w:val="none" w:sz="0" w:space="0" w:color="auto"/>
      </w:divBdr>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544148283">
          <w:marLeft w:val="0"/>
          <w:marRight w:val="0"/>
          <w:marTop w:val="0"/>
          <w:marBottom w:val="0"/>
          <w:divBdr>
            <w:top w:val="none" w:sz="0" w:space="0" w:color="auto"/>
            <w:left w:val="none" w:sz="0" w:space="0" w:color="auto"/>
            <w:bottom w:val="none" w:sz="0" w:space="0" w:color="auto"/>
            <w:right w:val="none" w:sz="0" w:space="0" w:color="auto"/>
          </w:divBdr>
          <w:divsChild>
            <w:div w:id="3073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9454">
      <w:bodyDiv w:val="1"/>
      <w:marLeft w:val="0"/>
      <w:marRight w:val="0"/>
      <w:marTop w:val="0"/>
      <w:marBottom w:val="0"/>
      <w:divBdr>
        <w:top w:val="none" w:sz="0" w:space="0" w:color="auto"/>
        <w:left w:val="none" w:sz="0" w:space="0" w:color="auto"/>
        <w:bottom w:val="none" w:sz="0" w:space="0" w:color="auto"/>
        <w:right w:val="none" w:sz="0" w:space="0" w:color="auto"/>
      </w:divBdr>
    </w:div>
    <w:div w:id="879903841">
      <w:bodyDiv w:val="1"/>
      <w:marLeft w:val="0"/>
      <w:marRight w:val="0"/>
      <w:marTop w:val="0"/>
      <w:marBottom w:val="0"/>
      <w:divBdr>
        <w:top w:val="none" w:sz="0" w:space="0" w:color="auto"/>
        <w:left w:val="none" w:sz="0" w:space="0" w:color="auto"/>
        <w:bottom w:val="none" w:sz="0" w:space="0" w:color="auto"/>
        <w:right w:val="none" w:sz="0" w:space="0" w:color="auto"/>
      </w:divBdr>
    </w:div>
    <w:div w:id="880022314">
      <w:bodyDiv w:val="1"/>
      <w:marLeft w:val="0"/>
      <w:marRight w:val="0"/>
      <w:marTop w:val="0"/>
      <w:marBottom w:val="0"/>
      <w:divBdr>
        <w:top w:val="none" w:sz="0" w:space="0" w:color="auto"/>
        <w:left w:val="none" w:sz="0" w:space="0" w:color="auto"/>
        <w:bottom w:val="none" w:sz="0" w:space="0" w:color="auto"/>
        <w:right w:val="none" w:sz="0" w:space="0" w:color="auto"/>
      </w:divBdr>
    </w:div>
    <w:div w:id="989093451">
      <w:bodyDiv w:val="1"/>
      <w:marLeft w:val="0"/>
      <w:marRight w:val="0"/>
      <w:marTop w:val="0"/>
      <w:marBottom w:val="0"/>
      <w:divBdr>
        <w:top w:val="none" w:sz="0" w:space="0" w:color="auto"/>
        <w:left w:val="none" w:sz="0" w:space="0" w:color="auto"/>
        <w:bottom w:val="none" w:sz="0" w:space="0" w:color="auto"/>
        <w:right w:val="none" w:sz="0" w:space="0" w:color="auto"/>
      </w:divBdr>
    </w:div>
    <w:div w:id="1133017426">
      <w:bodyDiv w:val="1"/>
      <w:marLeft w:val="0"/>
      <w:marRight w:val="0"/>
      <w:marTop w:val="0"/>
      <w:marBottom w:val="0"/>
      <w:divBdr>
        <w:top w:val="none" w:sz="0" w:space="0" w:color="auto"/>
        <w:left w:val="none" w:sz="0" w:space="0" w:color="auto"/>
        <w:bottom w:val="none" w:sz="0" w:space="0" w:color="auto"/>
        <w:right w:val="none" w:sz="0" w:space="0" w:color="auto"/>
      </w:divBdr>
    </w:div>
    <w:div w:id="1141071567">
      <w:bodyDiv w:val="1"/>
      <w:marLeft w:val="0"/>
      <w:marRight w:val="0"/>
      <w:marTop w:val="0"/>
      <w:marBottom w:val="0"/>
      <w:divBdr>
        <w:top w:val="none" w:sz="0" w:space="0" w:color="auto"/>
        <w:left w:val="none" w:sz="0" w:space="0" w:color="auto"/>
        <w:bottom w:val="none" w:sz="0" w:space="0" w:color="auto"/>
        <w:right w:val="none" w:sz="0" w:space="0" w:color="auto"/>
      </w:divBdr>
    </w:div>
    <w:div w:id="1145705430">
      <w:bodyDiv w:val="1"/>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19918">
      <w:bodyDiv w:val="1"/>
      <w:marLeft w:val="0"/>
      <w:marRight w:val="0"/>
      <w:marTop w:val="0"/>
      <w:marBottom w:val="0"/>
      <w:divBdr>
        <w:top w:val="none" w:sz="0" w:space="0" w:color="auto"/>
        <w:left w:val="none" w:sz="0" w:space="0" w:color="auto"/>
        <w:bottom w:val="none" w:sz="0" w:space="0" w:color="auto"/>
        <w:right w:val="none" w:sz="0" w:space="0" w:color="auto"/>
      </w:divBdr>
    </w:div>
    <w:div w:id="1199590017">
      <w:bodyDiv w:val="1"/>
      <w:marLeft w:val="0"/>
      <w:marRight w:val="0"/>
      <w:marTop w:val="0"/>
      <w:marBottom w:val="0"/>
      <w:divBdr>
        <w:top w:val="none" w:sz="0" w:space="0" w:color="auto"/>
        <w:left w:val="none" w:sz="0" w:space="0" w:color="auto"/>
        <w:bottom w:val="none" w:sz="0" w:space="0" w:color="auto"/>
        <w:right w:val="none" w:sz="0" w:space="0" w:color="auto"/>
      </w:divBdr>
    </w:div>
    <w:div w:id="1227494095">
      <w:bodyDiv w:val="1"/>
      <w:marLeft w:val="0"/>
      <w:marRight w:val="0"/>
      <w:marTop w:val="0"/>
      <w:marBottom w:val="0"/>
      <w:divBdr>
        <w:top w:val="none" w:sz="0" w:space="0" w:color="auto"/>
        <w:left w:val="none" w:sz="0" w:space="0" w:color="auto"/>
        <w:bottom w:val="none" w:sz="0" w:space="0" w:color="auto"/>
        <w:right w:val="none" w:sz="0" w:space="0" w:color="auto"/>
      </w:divBdr>
      <w:divsChild>
        <w:div w:id="762991901">
          <w:marLeft w:val="0"/>
          <w:marRight w:val="0"/>
          <w:marTop w:val="0"/>
          <w:marBottom w:val="0"/>
          <w:divBdr>
            <w:top w:val="none" w:sz="0" w:space="0" w:color="auto"/>
            <w:left w:val="none" w:sz="0" w:space="0" w:color="auto"/>
            <w:bottom w:val="none" w:sz="0" w:space="0" w:color="auto"/>
            <w:right w:val="none" w:sz="0" w:space="0" w:color="auto"/>
          </w:divBdr>
          <w:divsChild>
            <w:div w:id="13783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9669">
      <w:bodyDiv w:val="1"/>
      <w:marLeft w:val="0"/>
      <w:marRight w:val="0"/>
      <w:marTop w:val="0"/>
      <w:marBottom w:val="0"/>
      <w:divBdr>
        <w:top w:val="none" w:sz="0" w:space="0" w:color="auto"/>
        <w:left w:val="none" w:sz="0" w:space="0" w:color="auto"/>
        <w:bottom w:val="none" w:sz="0" w:space="0" w:color="auto"/>
        <w:right w:val="none" w:sz="0" w:space="0" w:color="auto"/>
      </w:divBdr>
    </w:div>
    <w:div w:id="1292132001">
      <w:bodyDiv w:val="1"/>
      <w:marLeft w:val="0"/>
      <w:marRight w:val="0"/>
      <w:marTop w:val="0"/>
      <w:marBottom w:val="0"/>
      <w:divBdr>
        <w:top w:val="none" w:sz="0" w:space="0" w:color="auto"/>
        <w:left w:val="none" w:sz="0" w:space="0" w:color="auto"/>
        <w:bottom w:val="none" w:sz="0" w:space="0" w:color="auto"/>
        <w:right w:val="none" w:sz="0" w:space="0" w:color="auto"/>
      </w:divBdr>
    </w:div>
    <w:div w:id="1308440627">
      <w:bodyDiv w:val="1"/>
      <w:marLeft w:val="0"/>
      <w:marRight w:val="0"/>
      <w:marTop w:val="0"/>
      <w:marBottom w:val="0"/>
      <w:divBdr>
        <w:top w:val="none" w:sz="0" w:space="0" w:color="auto"/>
        <w:left w:val="none" w:sz="0" w:space="0" w:color="auto"/>
        <w:bottom w:val="none" w:sz="0" w:space="0" w:color="auto"/>
        <w:right w:val="none" w:sz="0" w:space="0" w:color="auto"/>
      </w:divBdr>
    </w:div>
    <w:div w:id="1324747752">
      <w:bodyDiv w:val="1"/>
      <w:marLeft w:val="0"/>
      <w:marRight w:val="0"/>
      <w:marTop w:val="0"/>
      <w:marBottom w:val="0"/>
      <w:divBdr>
        <w:top w:val="none" w:sz="0" w:space="0" w:color="auto"/>
        <w:left w:val="none" w:sz="0" w:space="0" w:color="auto"/>
        <w:bottom w:val="none" w:sz="0" w:space="0" w:color="auto"/>
        <w:right w:val="none" w:sz="0" w:space="0" w:color="auto"/>
      </w:divBdr>
      <w:divsChild>
        <w:div w:id="725185656">
          <w:marLeft w:val="0"/>
          <w:marRight w:val="0"/>
          <w:marTop w:val="0"/>
          <w:marBottom w:val="0"/>
          <w:divBdr>
            <w:top w:val="none" w:sz="0" w:space="0" w:color="auto"/>
            <w:left w:val="none" w:sz="0" w:space="0" w:color="auto"/>
            <w:bottom w:val="none" w:sz="0" w:space="0" w:color="auto"/>
            <w:right w:val="none" w:sz="0" w:space="0" w:color="auto"/>
          </w:divBdr>
          <w:divsChild>
            <w:div w:id="1344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8485">
      <w:bodyDiv w:val="1"/>
      <w:marLeft w:val="0"/>
      <w:marRight w:val="0"/>
      <w:marTop w:val="0"/>
      <w:marBottom w:val="0"/>
      <w:divBdr>
        <w:top w:val="none" w:sz="0" w:space="0" w:color="auto"/>
        <w:left w:val="none" w:sz="0" w:space="0" w:color="auto"/>
        <w:bottom w:val="none" w:sz="0" w:space="0" w:color="auto"/>
        <w:right w:val="none" w:sz="0" w:space="0" w:color="auto"/>
      </w:divBdr>
    </w:div>
    <w:div w:id="1449859091">
      <w:bodyDiv w:val="1"/>
      <w:marLeft w:val="0"/>
      <w:marRight w:val="0"/>
      <w:marTop w:val="0"/>
      <w:marBottom w:val="0"/>
      <w:divBdr>
        <w:top w:val="none" w:sz="0" w:space="0" w:color="auto"/>
        <w:left w:val="none" w:sz="0" w:space="0" w:color="auto"/>
        <w:bottom w:val="none" w:sz="0" w:space="0" w:color="auto"/>
        <w:right w:val="none" w:sz="0" w:space="0" w:color="auto"/>
      </w:divBdr>
    </w:div>
    <w:div w:id="1463842673">
      <w:bodyDiv w:val="1"/>
      <w:marLeft w:val="0"/>
      <w:marRight w:val="0"/>
      <w:marTop w:val="0"/>
      <w:marBottom w:val="0"/>
      <w:divBdr>
        <w:top w:val="none" w:sz="0" w:space="0" w:color="auto"/>
        <w:left w:val="none" w:sz="0" w:space="0" w:color="auto"/>
        <w:bottom w:val="none" w:sz="0" w:space="0" w:color="auto"/>
        <w:right w:val="none" w:sz="0" w:space="0" w:color="auto"/>
      </w:divBdr>
    </w:div>
    <w:div w:id="1488017762">
      <w:bodyDiv w:val="1"/>
      <w:marLeft w:val="0"/>
      <w:marRight w:val="0"/>
      <w:marTop w:val="0"/>
      <w:marBottom w:val="0"/>
      <w:divBdr>
        <w:top w:val="none" w:sz="0" w:space="0" w:color="auto"/>
        <w:left w:val="none" w:sz="0" w:space="0" w:color="auto"/>
        <w:bottom w:val="none" w:sz="0" w:space="0" w:color="auto"/>
        <w:right w:val="none" w:sz="0" w:space="0" w:color="auto"/>
      </w:divBdr>
    </w:div>
    <w:div w:id="1494756834">
      <w:bodyDiv w:val="1"/>
      <w:marLeft w:val="0"/>
      <w:marRight w:val="0"/>
      <w:marTop w:val="0"/>
      <w:marBottom w:val="0"/>
      <w:divBdr>
        <w:top w:val="none" w:sz="0" w:space="0" w:color="auto"/>
        <w:left w:val="none" w:sz="0" w:space="0" w:color="auto"/>
        <w:bottom w:val="none" w:sz="0" w:space="0" w:color="auto"/>
        <w:right w:val="none" w:sz="0" w:space="0" w:color="auto"/>
      </w:divBdr>
    </w:div>
    <w:div w:id="1495293851">
      <w:bodyDiv w:val="1"/>
      <w:marLeft w:val="0"/>
      <w:marRight w:val="0"/>
      <w:marTop w:val="0"/>
      <w:marBottom w:val="0"/>
      <w:divBdr>
        <w:top w:val="none" w:sz="0" w:space="0" w:color="auto"/>
        <w:left w:val="none" w:sz="0" w:space="0" w:color="auto"/>
        <w:bottom w:val="none" w:sz="0" w:space="0" w:color="auto"/>
        <w:right w:val="none" w:sz="0" w:space="0" w:color="auto"/>
      </w:divBdr>
      <w:divsChild>
        <w:div w:id="1702784932">
          <w:marLeft w:val="0"/>
          <w:marRight w:val="0"/>
          <w:marTop w:val="0"/>
          <w:marBottom w:val="0"/>
          <w:divBdr>
            <w:top w:val="none" w:sz="0" w:space="0" w:color="auto"/>
            <w:left w:val="none" w:sz="0" w:space="0" w:color="auto"/>
            <w:bottom w:val="none" w:sz="0" w:space="0" w:color="auto"/>
            <w:right w:val="none" w:sz="0" w:space="0" w:color="auto"/>
          </w:divBdr>
          <w:divsChild>
            <w:div w:id="14205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14160">
      <w:bodyDiv w:val="1"/>
      <w:marLeft w:val="0"/>
      <w:marRight w:val="0"/>
      <w:marTop w:val="0"/>
      <w:marBottom w:val="0"/>
      <w:divBdr>
        <w:top w:val="none" w:sz="0" w:space="0" w:color="auto"/>
        <w:left w:val="none" w:sz="0" w:space="0" w:color="auto"/>
        <w:bottom w:val="none" w:sz="0" w:space="0" w:color="auto"/>
        <w:right w:val="none" w:sz="0" w:space="0" w:color="auto"/>
      </w:divBdr>
    </w:div>
    <w:div w:id="1518302860">
      <w:bodyDiv w:val="1"/>
      <w:marLeft w:val="0"/>
      <w:marRight w:val="0"/>
      <w:marTop w:val="0"/>
      <w:marBottom w:val="0"/>
      <w:divBdr>
        <w:top w:val="none" w:sz="0" w:space="0" w:color="auto"/>
        <w:left w:val="none" w:sz="0" w:space="0" w:color="auto"/>
        <w:bottom w:val="none" w:sz="0" w:space="0" w:color="auto"/>
        <w:right w:val="none" w:sz="0" w:space="0" w:color="auto"/>
      </w:divBdr>
    </w:div>
    <w:div w:id="1560743337">
      <w:bodyDiv w:val="1"/>
      <w:marLeft w:val="0"/>
      <w:marRight w:val="0"/>
      <w:marTop w:val="0"/>
      <w:marBottom w:val="0"/>
      <w:divBdr>
        <w:top w:val="none" w:sz="0" w:space="0" w:color="auto"/>
        <w:left w:val="none" w:sz="0" w:space="0" w:color="auto"/>
        <w:bottom w:val="none" w:sz="0" w:space="0" w:color="auto"/>
        <w:right w:val="none" w:sz="0" w:space="0" w:color="auto"/>
      </w:divBdr>
      <w:divsChild>
        <w:div w:id="1705473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222938">
      <w:bodyDiv w:val="1"/>
      <w:marLeft w:val="0"/>
      <w:marRight w:val="0"/>
      <w:marTop w:val="0"/>
      <w:marBottom w:val="0"/>
      <w:divBdr>
        <w:top w:val="none" w:sz="0" w:space="0" w:color="auto"/>
        <w:left w:val="none" w:sz="0" w:space="0" w:color="auto"/>
        <w:bottom w:val="none" w:sz="0" w:space="0" w:color="auto"/>
        <w:right w:val="none" w:sz="0" w:space="0" w:color="auto"/>
      </w:divBdr>
    </w:div>
    <w:div w:id="1653748998">
      <w:bodyDiv w:val="1"/>
      <w:marLeft w:val="0"/>
      <w:marRight w:val="0"/>
      <w:marTop w:val="0"/>
      <w:marBottom w:val="0"/>
      <w:divBdr>
        <w:top w:val="none" w:sz="0" w:space="0" w:color="auto"/>
        <w:left w:val="none" w:sz="0" w:space="0" w:color="auto"/>
        <w:bottom w:val="none" w:sz="0" w:space="0" w:color="auto"/>
        <w:right w:val="none" w:sz="0" w:space="0" w:color="auto"/>
      </w:divBdr>
    </w:div>
    <w:div w:id="1658420219">
      <w:bodyDiv w:val="1"/>
      <w:marLeft w:val="0"/>
      <w:marRight w:val="0"/>
      <w:marTop w:val="0"/>
      <w:marBottom w:val="0"/>
      <w:divBdr>
        <w:top w:val="none" w:sz="0" w:space="0" w:color="auto"/>
        <w:left w:val="none" w:sz="0" w:space="0" w:color="auto"/>
        <w:bottom w:val="none" w:sz="0" w:space="0" w:color="auto"/>
        <w:right w:val="none" w:sz="0" w:space="0" w:color="auto"/>
      </w:divBdr>
    </w:div>
    <w:div w:id="1669599432">
      <w:bodyDiv w:val="1"/>
      <w:marLeft w:val="0"/>
      <w:marRight w:val="0"/>
      <w:marTop w:val="0"/>
      <w:marBottom w:val="0"/>
      <w:divBdr>
        <w:top w:val="none" w:sz="0" w:space="0" w:color="auto"/>
        <w:left w:val="none" w:sz="0" w:space="0" w:color="auto"/>
        <w:bottom w:val="none" w:sz="0" w:space="0" w:color="auto"/>
        <w:right w:val="none" w:sz="0" w:space="0" w:color="auto"/>
      </w:divBdr>
    </w:div>
    <w:div w:id="1710910139">
      <w:bodyDiv w:val="1"/>
      <w:marLeft w:val="0"/>
      <w:marRight w:val="0"/>
      <w:marTop w:val="0"/>
      <w:marBottom w:val="0"/>
      <w:divBdr>
        <w:top w:val="none" w:sz="0" w:space="0" w:color="auto"/>
        <w:left w:val="none" w:sz="0" w:space="0" w:color="auto"/>
        <w:bottom w:val="none" w:sz="0" w:space="0" w:color="auto"/>
        <w:right w:val="none" w:sz="0" w:space="0" w:color="auto"/>
      </w:divBdr>
    </w:div>
    <w:div w:id="1749887693">
      <w:bodyDiv w:val="1"/>
      <w:marLeft w:val="0"/>
      <w:marRight w:val="0"/>
      <w:marTop w:val="0"/>
      <w:marBottom w:val="0"/>
      <w:divBdr>
        <w:top w:val="none" w:sz="0" w:space="0" w:color="auto"/>
        <w:left w:val="none" w:sz="0" w:space="0" w:color="auto"/>
        <w:bottom w:val="none" w:sz="0" w:space="0" w:color="auto"/>
        <w:right w:val="none" w:sz="0" w:space="0" w:color="auto"/>
      </w:divBdr>
    </w:div>
    <w:div w:id="1795294777">
      <w:bodyDiv w:val="1"/>
      <w:marLeft w:val="0"/>
      <w:marRight w:val="0"/>
      <w:marTop w:val="0"/>
      <w:marBottom w:val="0"/>
      <w:divBdr>
        <w:top w:val="none" w:sz="0" w:space="0" w:color="auto"/>
        <w:left w:val="none" w:sz="0" w:space="0" w:color="auto"/>
        <w:bottom w:val="none" w:sz="0" w:space="0" w:color="auto"/>
        <w:right w:val="none" w:sz="0" w:space="0" w:color="auto"/>
      </w:divBdr>
    </w:div>
    <w:div w:id="1816334143">
      <w:bodyDiv w:val="1"/>
      <w:marLeft w:val="0"/>
      <w:marRight w:val="0"/>
      <w:marTop w:val="0"/>
      <w:marBottom w:val="0"/>
      <w:divBdr>
        <w:top w:val="none" w:sz="0" w:space="0" w:color="auto"/>
        <w:left w:val="none" w:sz="0" w:space="0" w:color="auto"/>
        <w:bottom w:val="none" w:sz="0" w:space="0" w:color="auto"/>
        <w:right w:val="none" w:sz="0" w:space="0" w:color="auto"/>
      </w:divBdr>
    </w:div>
    <w:div w:id="1829900106">
      <w:bodyDiv w:val="1"/>
      <w:marLeft w:val="0"/>
      <w:marRight w:val="0"/>
      <w:marTop w:val="0"/>
      <w:marBottom w:val="0"/>
      <w:divBdr>
        <w:top w:val="none" w:sz="0" w:space="0" w:color="auto"/>
        <w:left w:val="none" w:sz="0" w:space="0" w:color="auto"/>
        <w:bottom w:val="none" w:sz="0" w:space="0" w:color="auto"/>
        <w:right w:val="none" w:sz="0" w:space="0" w:color="auto"/>
      </w:divBdr>
      <w:divsChild>
        <w:div w:id="989140509">
          <w:marLeft w:val="0"/>
          <w:marRight w:val="0"/>
          <w:marTop w:val="0"/>
          <w:marBottom w:val="0"/>
          <w:divBdr>
            <w:top w:val="none" w:sz="0" w:space="0" w:color="auto"/>
            <w:left w:val="none" w:sz="0" w:space="0" w:color="auto"/>
            <w:bottom w:val="none" w:sz="0" w:space="0" w:color="auto"/>
            <w:right w:val="none" w:sz="0" w:space="0" w:color="auto"/>
          </w:divBdr>
          <w:divsChild>
            <w:div w:id="1847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11035">
      <w:bodyDiv w:val="1"/>
      <w:marLeft w:val="0"/>
      <w:marRight w:val="0"/>
      <w:marTop w:val="0"/>
      <w:marBottom w:val="0"/>
      <w:divBdr>
        <w:top w:val="none" w:sz="0" w:space="0" w:color="auto"/>
        <w:left w:val="none" w:sz="0" w:space="0" w:color="auto"/>
        <w:bottom w:val="none" w:sz="0" w:space="0" w:color="auto"/>
        <w:right w:val="none" w:sz="0" w:space="0" w:color="auto"/>
      </w:divBdr>
    </w:div>
    <w:div w:id="1889142302">
      <w:bodyDiv w:val="1"/>
      <w:marLeft w:val="0"/>
      <w:marRight w:val="0"/>
      <w:marTop w:val="0"/>
      <w:marBottom w:val="0"/>
      <w:divBdr>
        <w:top w:val="none" w:sz="0" w:space="0" w:color="auto"/>
        <w:left w:val="none" w:sz="0" w:space="0" w:color="auto"/>
        <w:bottom w:val="none" w:sz="0" w:space="0" w:color="auto"/>
        <w:right w:val="none" w:sz="0" w:space="0" w:color="auto"/>
      </w:divBdr>
    </w:div>
    <w:div w:id="1889999205">
      <w:bodyDiv w:val="1"/>
      <w:marLeft w:val="0"/>
      <w:marRight w:val="0"/>
      <w:marTop w:val="0"/>
      <w:marBottom w:val="0"/>
      <w:divBdr>
        <w:top w:val="none" w:sz="0" w:space="0" w:color="auto"/>
        <w:left w:val="none" w:sz="0" w:space="0" w:color="auto"/>
        <w:bottom w:val="none" w:sz="0" w:space="0" w:color="auto"/>
        <w:right w:val="none" w:sz="0" w:space="0" w:color="auto"/>
      </w:divBdr>
    </w:div>
    <w:div w:id="1923565430">
      <w:bodyDiv w:val="1"/>
      <w:marLeft w:val="0"/>
      <w:marRight w:val="0"/>
      <w:marTop w:val="0"/>
      <w:marBottom w:val="0"/>
      <w:divBdr>
        <w:top w:val="none" w:sz="0" w:space="0" w:color="auto"/>
        <w:left w:val="none" w:sz="0" w:space="0" w:color="auto"/>
        <w:bottom w:val="none" w:sz="0" w:space="0" w:color="auto"/>
        <w:right w:val="none" w:sz="0" w:space="0" w:color="auto"/>
      </w:divBdr>
    </w:div>
    <w:div w:id="1943149153">
      <w:bodyDiv w:val="1"/>
      <w:marLeft w:val="0"/>
      <w:marRight w:val="0"/>
      <w:marTop w:val="0"/>
      <w:marBottom w:val="0"/>
      <w:divBdr>
        <w:top w:val="none" w:sz="0" w:space="0" w:color="auto"/>
        <w:left w:val="none" w:sz="0" w:space="0" w:color="auto"/>
        <w:bottom w:val="none" w:sz="0" w:space="0" w:color="auto"/>
        <w:right w:val="none" w:sz="0" w:space="0" w:color="auto"/>
      </w:divBdr>
    </w:div>
    <w:div w:id="1951427268">
      <w:bodyDiv w:val="1"/>
      <w:marLeft w:val="0"/>
      <w:marRight w:val="0"/>
      <w:marTop w:val="0"/>
      <w:marBottom w:val="0"/>
      <w:divBdr>
        <w:top w:val="none" w:sz="0" w:space="0" w:color="auto"/>
        <w:left w:val="none" w:sz="0" w:space="0" w:color="auto"/>
        <w:bottom w:val="none" w:sz="0" w:space="0" w:color="auto"/>
        <w:right w:val="none" w:sz="0" w:space="0" w:color="auto"/>
      </w:divBdr>
    </w:div>
    <w:div w:id="2014137643">
      <w:bodyDiv w:val="1"/>
      <w:marLeft w:val="0"/>
      <w:marRight w:val="0"/>
      <w:marTop w:val="0"/>
      <w:marBottom w:val="0"/>
      <w:divBdr>
        <w:top w:val="none" w:sz="0" w:space="0" w:color="auto"/>
        <w:left w:val="none" w:sz="0" w:space="0" w:color="auto"/>
        <w:bottom w:val="none" w:sz="0" w:space="0" w:color="auto"/>
        <w:right w:val="none" w:sz="0" w:space="0" w:color="auto"/>
      </w:divBdr>
      <w:divsChild>
        <w:div w:id="215823963">
          <w:marLeft w:val="0"/>
          <w:marRight w:val="0"/>
          <w:marTop w:val="0"/>
          <w:marBottom w:val="0"/>
          <w:divBdr>
            <w:top w:val="none" w:sz="0" w:space="0" w:color="auto"/>
            <w:left w:val="none" w:sz="0" w:space="0" w:color="auto"/>
            <w:bottom w:val="none" w:sz="0" w:space="0" w:color="auto"/>
            <w:right w:val="none" w:sz="0" w:space="0" w:color="auto"/>
          </w:divBdr>
          <w:divsChild>
            <w:div w:id="18487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93149">
      <w:bodyDiv w:val="1"/>
      <w:marLeft w:val="0"/>
      <w:marRight w:val="0"/>
      <w:marTop w:val="0"/>
      <w:marBottom w:val="0"/>
      <w:divBdr>
        <w:top w:val="none" w:sz="0" w:space="0" w:color="auto"/>
        <w:left w:val="none" w:sz="0" w:space="0" w:color="auto"/>
        <w:bottom w:val="none" w:sz="0" w:space="0" w:color="auto"/>
        <w:right w:val="none" w:sz="0" w:space="0" w:color="auto"/>
      </w:divBdr>
    </w:div>
    <w:div w:id="2052343112">
      <w:bodyDiv w:val="1"/>
      <w:marLeft w:val="0"/>
      <w:marRight w:val="0"/>
      <w:marTop w:val="0"/>
      <w:marBottom w:val="0"/>
      <w:divBdr>
        <w:top w:val="none" w:sz="0" w:space="0" w:color="auto"/>
        <w:left w:val="none" w:sz="0" w:space="0" w:color="auto"/>
        <w:bottom w:val="none" w:sz="0" w:space="0" w:color="auto"/>
        <w:right w:val="none" w:sz="0" w:space="0" w:color="auto"/>
      </w:divBdr>
    </w:div>
    <w:div w:id="20819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CB792-0D6E-43FE-8B6D-4BED23A8E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A837C-08E0-42B9-9F1E-9F4E3C77E9FD}">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3.xml><?xml version="1.0" encoding="utf-8"?>
<ds:datastoreItem xmlns:ds="http://schemas.openxmlformats.org/officeDocument/2006/customXml" ds:itemID="{B709E0F9-BF16-4431-A912-53DFD78194A4}">
  <ds:schemaRefs>
    <ds:schemaRef ds:uri="http://schemas.openxmlformats.org/officeDocument/2006/bibliography"/>
  </ds:schemaRefs>
</ds:datastoreItem>
</file>

<file path=customXml/itemProps4.xml><?xml version="1.0" encoding="utf-8"?>
<ds:datastoreItem xmlns:ds="http://schemas.openxmlformats.org/officeDocument/2006/customXml" ds:itemID="{9E606A77-EC57-4A63-809E-FA1ACFA92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7340</Words>
  <Characters>41844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Cross</dc:creator>
  <cp:keywords/>
  <dc:description/>
  <cp:lastModifiedBy>Lisa Cross</cp:lastModifiedBy>
  <cp:revision>27</cp:revision>
  <dcterms:created xsi:type="dcterms:W3CDTF">2025-06-24T16:33:00Z</dcterms:created>
  <dcterms:modified xsi:type="dcterms:W3CDTF">2026-06-18T14:12:00Z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ies>
</file>