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149D"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74F24595" wp14:editId="0D646569">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2E8E8C73" w14:textId="77777777" w:rsidR="00D5481C" w:rsidRPr="00975836" w:rsidRDefault="00D5481C" w:rsidP="00825FE2">
      <w:pPr>
        <w:pStyle w:val="TemplateHeaderReplace"/>
        <w:ind w:left="0" w:right="567"/>
        <w:rPr>
          <w:rFonts w:cs="Arial"/>
        </w:rPr>
      </w:pPr>
    </w:p>
    <w:p w14:paraId="2DAEE135" w14:textId="77777777" w:rsidR="00D5481C" w:rsidRPr="00975836" w:rsidRDefault="00D5481C" w:rsidP="00825FE2">
      <w:pPr>
        <w:pStyle w:val="TemplateHeaderReplace"/>
        <w:ind w:left="0" w:right="567"/>
        <w:rPr>
          <w:rFonts w:cs="Arial"/>
        </w:rPr>
      </w:pPr>
    </w:p>
    <w:p w14:paraId="29028865" w14:textId="77777777" w:rsidR="003B100B" w:rsidRPr="00975836" w:rsidRDefault="003B100B" w:rsidP="00825FE2">
      <w:pPr>
        <w:pStyle w:val="TemplateHeaderReplace"/>
        <w:ind w:left="0" w:right="567"/>
        <w:rPr>
          <w:rFonts w:cs="Arial"/>
        </w:rPr>
      </w:pPr>
    </w:p>
    <w:p w14:paraId="0840132D" w14:textId="77777777" w:rsidR="00D32303" w:rsidRPr="00D73874" w:rsidRDefault="00D32303" w:rsidP="00D32303">
      <w:pPr>
        <w:rPr>
          <w:rFonts w:cs="Arial"/>
          <w:b/>
          <w:bCs/>
          <w:sz w:val="56"/>
          <w:szCs w:val="56"/>
        </w:rPr>
      </w:pPr>
      <w:r>
        <w:rPr>
          <w:rFonts w:cs="Arial"/>
          <w:b/>
          <w:bCs/>
          <w:sz w:val="56"/>
          <w:szCs w:val="56"/>
        </w:rPr>
        <w:t>Remuneration</w:t>
      </w:r>
      <w:r w:rsidRPr="00F37F2D">
        <w:rPr>
          <w:rFonts w:cs="Arial"/>
          <w:b/>
          <w:bCs/>
          <w:sz w:val="56"/>
          <w:szCs w:val="56"/>
        </w:rPr>
        <w:t xml:space="preserve"> Policy </w:t>
      </w:r>
    </w:p>
    <w:p w14:paraId="224CC748"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09AA6FC5" w14:textId="77777777" w:rsidTr="00975836">
        <w:tc>
          <w:tcPr>
            <w:tcW w:w="8813" w:type="dxa"/>
            <w:tcBorders>
              <w:top w:val="single" w:sz="4" w:space="0" w:color="46DCDC"/>
            </w:tcBorders>
          </w:tcPr>
          <w:p w14:paraId="7685E4E0" w14:textId="77777777" w:rsidR="003B100B" w:rsidRPr="00975836" w:rsidRDefault="003B100B" w:rsidP="00204381">
            <w:pPr>
              <w:ind w:left="-567" w:right="567"/>
              <w:rPr>
                <w:rFonts w:cs="Arial"/>
                <w:b/>
                <w:sz w:val="22"/>
              </w:rPr>
            </w:pPr>
          </w:p>
        </w:tc>
      </w:tr>
      <w:tr w:rsidR="003B100B" w:rsidRPr="00975836" w14:paraId="5F98D572" w14:textId="77777777" w:rsidTr="00204381">
        <w:tc>
          <w:tcPr>
            <w:tcW w:w="8813" w:type="dxa"/>
          </w:tcPr>
          <w:p w14:paraId="6A8E9EEC" w14:textId="2E67B538" w:rsidR="003B100B" w:rsidRPr="00975836" w:rsidRDefault="003B100B" w:rsidP="00204381">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3ECC9525" w14:textId="77777777" w:rsidR="00BE2221" w:rsidRPr="00BE2221" w:rsidRDefault="00BE2221" w:rsidP="00BE2221">
            <w:pPr>
              <w:rPr>
                <w:rFonts w:cs="Arial"/>
              </w:rPr>
            </w:pPr>
            <w:r w:rsidRPr="00BE2221">
              <w:rPr>
                <w:rFonts w:cs="Arial"/>
              </w:rPr>
              <w:t>This document details the firm’s Remuneration Policy.</w:t>
            </w:r>
          </w:p>
          <w:p w14:paraId="498280CF" w14:textId="77777777" w:rsidR="00BE2221" w:rsidRPr="00BE2221" w:rsidRDefault="00BE2221" w:rsidP="00BE2221">
            <w:pPr>
              <w:spacing w:after="160" w:line="259" w:lineRule="auto"/>
              <w:rPr>
                <w:rFonts w:eastAsia="Calibri" w:cs="Arial"/>
                <w:szCs w:val="20"/>
              </w:rPr>
            </w:pPr>
            <w:r w:rsidRPr="00BE2221">
              <w:rPr>
                <w:rFonts w:eastAsia="Calibri" w:cs="Arial"/>
                <w:szCs w:val="20"/>
              </w:rPr>
              <w:t xml:space="preserve">Guidance notes and instructions are highlighted in </w:t>
            </w:r>
            <w:r w:rsidRPr="00BE2221">
              <w:rPr>
                <w:rFonts w:eastAsia="Calibri" w:cs="Arial"/>
                <w:szCs w:val="20"/>
                <w:highlight w:val="yellow"/>
              </w:rPr>
              <w:t>yellow</w:t>
            </w:r>
            <w:r w:rsidRPr="00BE2221">
              <w:rPr>
                <w:rFonts w:eastAsia="Calibri" w:cs="Arial"/>
                <w:szCs w:val="20"/>
              </w:rPr>
              <w:t>.</w:t>
            </w:r>
          </w:p>
          <w:p w14:paraId="2E947345" w14:textId="77777777" w:rsidR="00BE2221" w:rsidRPr="00BE2221" w:rsidRDefault="00BE2221" w:rsidP="00BE2221">
            <w:pPr>
              <w:spacing w:after="160" w:line="259" w:lineRule="auto"/>
              <w:rPr>
                <w:rFonts w:eastAsia="Calibri" w:cs="Arial"/>
                <w:color w:val="FF0000"/>
                <w:szCs w:val="20"/>
              </w:rPr>
            </w:pPr>
            <w:r w:rsidRPr="00BE2221">
              <w:rPr>
                <w:rFonts w:eastAsia="Calibri" w:cs="Arial"/>
                <w:color w:val="FF0000"/>
                <w:szCs w:val="20"/>
              </w:rPr>
              <w:t>Red text indicates personalisation is probably required.</w:t>
            </w:r>
          </w:p>
          <w:p w14:paraId="1016F164" w14:textId="77777777" w:rsidR="00BE2221" w:rsidRPr="00BE2221" w:rsidRDefault="00BE2221" w:rsidP="00BE2221">
            <w:pPr>
              <w:ind w:right="567"/>
              <w:rPr>
                <w:rFonts w:cs="Arial"/>
                <w:b/>
                <w:sz w:val="28"/>
                <w:szCs w:val="28"/>
              </w:rPr>
            </w:pPr>
            <w:r w:rsidRPr="00BE2221">
              <w:rPr>
                <w:rFonts w:cs="Arial"/>
                <w:b/>
                <w:sz w:val="28"/>
                <w:szCs w:val="28"/>
              </w:rPr>
              <w:t>Specific Considerations</w:t>
            </w:r>
          </w:p>
          <w:p w14:paraId="5B373C34" w14:textId="77777777" w:rsidR="00BE2221" w:rsidRPr="00BE2221" w:rsidRDefault="00BE2221" w:rsidP="00BE2221">
            <w:pPr>
              <w:rPr>
                <w:rFonts w:cs="Arial"/>
              </w:rPr>
            </w:pPr>
            <w:r w:rsidRPr="00BE2221">
              <w:rPr>
                <w:rFonts w:cs="Arial"/>
              </w:rPr>
              <w:t>This template is suitable for an Article 3 firm.</w:t>
            </w:r>
          </w:p>
          <w:p w14:paraId="710D7D8A" w14:textId="77777777" w:rsidR="00BE2221" w:rsidRPr="00BE2221" w:rsidRDefault="00BE2221" w:rsidP="00BE2221">
            <w:pPr>
              <w:rPr>
                <w:rFonts w:cs="Arial"/>
              </w:rPr>
            </w:pPr>
            <w:r w:rsidRPr="00BE2221">
              <w:rPr>
                <w:rFonts w:cs="Arial"/>
              </w:rPr>
              <w:t>For other types of firms, including BIRPU firms, please seek specific guidance.</w:t>
            </w:r>
          </w:p>
          <w:p w14:paraId="2D96117E" w14:textId="77777777" w:rsidR="00BE2221" w:rsidRPr="00BE2221" w:rsidRDefault="00BE2221" w:rsidP="00BE2221">
            <w:pPr>
              <w:rPr>
                <w:rFonts w:cs="Arial"/>
              </w:rPr>
            </w:pPr>
            <w:r w:rsidRPr="00BE2221">
              <w:rPr>
                <w:rFonts w:cs="Arial"/>
              </w:rPr>
              <w:t xml:space="preserve">When the FCA provides updated guidance, it is recommended that these procedures be reviewed. </w:t>
            </w:r>
          </w:p>
          <w:p w14:paraId="0E43F19D" w14:textId="77777777" w:rsidR="003B100B" w:rsidRPr="00975836" w:rsidRDefault="003B100B" w:rsidP="008F6E62">
            <w:pPr>
              <w:ind w:right="567"/>
              <w:jc w:val="both"/>
              <w:rPr>
                <w:rFonts w:cs="Arial"/>
                <w:b/>
                <w:sz w:val="28"/>
                <w:szCs w:val="28"/>
              </w:rPr>
            </w:pPr>
          </w:p>
        </w:tc>
      </w:tr>
    </w:tbl>
    <w:p w14:paraId="05416636" w14:textId="77777777" w:rsidR="00825FE2" w:rsidRPr="00975836" w:rsidRDefault="00825FE2" w:rsidP="00825FE2">
      <w:pPr>
        <w:pStyle w:val="TemplateHeaderReplace"/>
        <w:ind w:left="0" w:right="567"/>
        <w:rPr>
          <w:rFonts w:cs="Arial"/>
        </w:rPr>
      </w:pPr>
    </w:p>
    <w:p w14:paraId="38FAD965" w14:textId="77777777" w:rsidR="003B100B" w:rsidRPr="00975836" w:rsidRDefault="003B100B">
      <w:pPr>
        <w:spacing w:after="160" w:line="259" w:lineRule="auto"/>
        <w:rPr>
          <w:rFonts w:cs="Arial"/>
          <w:b/>
          <w:color w:val="DC2C5C"/>
          <w:sz w:val="44"/>
          <w:szCs w:val="44"/>
        </w:rPr>
      </w:pPr>
      <w:r w:rsidRPr="00975836">
        <w:rPr>
          <w:rFonts w:cs="Arial"/>
        </w:rPr>
        <w:br w:type="page"/>
      </w:r>
    </w:p>
    <w:p w14:paraId="0A72BEE0" w14:textId="77777777" w:rsidR="003B100B" w:rsidRPr="00975836" w:rsidRDefault="003B100B" w:rsidP="00636AF8">
      <w:pPr>
        <w:pStyle w:val="Heading1"/>
        <w:rPr>
          <w:rFonts w:cs="Arial"/>
        </w:rPr>
      </w:pPr>
    </w:p>
    <w:p w14:paraId="6F116047" w14:textId="77777777" w:rsidR="003B100B" w:rsidRPr="00975836" w:rsidRDefault="003B100B" w:rsidP="00636AF8">
      <w:pPr>
        <w:pStyle w:val="Heading1"/>
        <w:rPr>
          <w:rFonts w:cs="Arial"/>
        </w:rPr>
      </w:pPr>
    </w:p>
    <w:p w14:paraId="08A779E2" w14:textId="77777777" w:rsidR="003B100B" w:rsidRPr="00975836" w:rsidRDefault="003B100B" w:rsidP="00636AF8">
      <w:pPr>
        <w:pStyle w:val="Heading1"/>
        <w:rPr>
          <w:rFonts w:cs="Arial"/>
        </w:rPr>
      </w:pPr>
    </w:p>
    <w:p w14:paraId="1BFB90C5" w14:textId="77777777" w:rsidR="003B100B" w:rsidRPr="00975836" w:rsidRDefault="003B100B" w:rsidP="00636AF8">
      <w:pPr>
        <w:pStyle w:val="Heading1"/>
        <w:rPr>
          <w:rFonts w:cs="Arial"/>
        </w:rPr>
      </w:pPr>
    </w:p>
    <w:p w14:paraId="1CED9BDA"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5BDCC990" w14:textId="77777777" w:rsidR="00D32303" w:rsidRPr="00D73874" w:rsidRDefault="00D32303" w:rsidP="00D32303">
      <w:pPr>
        <w:rPr>
          <w:rFonts w:cs="Arial"/>
          <w:b/>
          <w:bCs/>
          <w:sz w:val="56"/>
          <w:szCs w:val="56"/>
        </w:rPr>
      </w:pPr>
      <w:r>
        <w:rPr>
          <w:rFonts w:cs="Arial"/>
          <w:b/>
          <w:bCs/>
          <w:sz w:val="56"/>
          <w:szCs w:val="56"/>
        </w:rPr>
        <w:t>Remuneration</w:t>
      </w:r>
      <w:r w:rsidRPr="00F37F2D">
        <w:rPr>
          <w:rFonts w:cs="Arial"/>
          <w:b/>
          <w:bCs/>
          <w:sz w:val="56"/>
          <w:szCs w:val="56"/>
        </w:rPr>
        <w:t xml:space="preserve"> Policy </w:t>
      </w:r>
    </w:p>
    <w:p w14:paraId="7FC11810"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DC523B6" w14:textId="77777777" w:rsidR="004437C4" w:rsidRPr="00975836" w:rsidRDefault="004437C4">
      <w:pPr>
        <w:rPr>
          <w:rFonts w:cs="Arial"/>
        </w:rPr>
      </w:pPr>
    </w:p>
    <w:p w14:paraId="7EF7C75E" w14:textId="77777777" w:rsidR="00825FE2" w:rsidRPr="00975836" w:rsidRDefault="00825FE2" w:rsidP="00CF59F7">
      <w:pPr>
        <w:pStyle w:val="TemplateHeader"/>
        <w:ind w:left="0" w:right="567"/>
        <w:rPr>
          <w:rFonts w:cs="Arial"/>
        </w:rPr>
      </w:pPr>
    </w:p>
    <w:p w14:paraId="02A86194" w14:textId="77777777" w:rsidR="00825FE2" w:rsidRPr="00975836" w:rsidRDefault="00825FE2" w:rsidP="00825FE2">
      <w:pPr>
        <w:pStyle w:val="TemplateHeader"/>
        <w:ind w:right="567" w:firstLine="567"/>
        <w:rPr>
          <w:rFonts w:cs="Arial"/>
        </w:rPr>
        <w:sectPr w:rsidR="00825FE2" w:rsidRPr="00975836">
          <w:footerReference w:type="default" r:id="rId12"/>
          <w:pgSz w:w="11906" w:h="16838"/>
          <w:pgMar w:top="1440" w:right="1440" w:bottom="1440" w:left="1440" w:header="708" w:footer="708" w:gutter="0"/>
          <w:cols w:space="708"/>
          <w:docGrid w:linePitch="360"/>
        </w:sectPr>
      </w:pPr>
    </w:p>
    <w:p w14:paraId="0C7EA9A1" w14:textId="77777777" w:rsidR="0017123A" w:rsidRDefault="0017123A" w:rsidP="0017123A">
      <w:r w:rsidRPr="00F37F2D">
        <w:rPr>
          <w:color w:val="FF0000"/>
        </w:rPr>
        <w:lastRenderedPageBreak/>
        <w:t xml:space="preserve">Firm name </w:t>
      </w:r>
      <w:bookmarkStart w:id="0" w:name="_Hlk73033402"/>
      <w:r w:rsidRPr="00F37F2D">
        <w:t xml:space="preserve">will ensure that </w:t>
      </w:r>
      <w:bookmarkEnd w:id="0"/>
      <w:r>
        <w:t>it has no financial incentives for staff that could potentially have a negative effect on its clients.</w:t>
      </w:r>
      <w:r w:rsidRPr="00F37F2D">
        <w:t xml:space="preserve">  </w:t>
      </w:r>
      <w:r>
        <w:t>It will not remunerate or assess the performance of staff in a way that conflicts with its duty to act in the best interest of its clients or create incentives for staff to sell products inappropriately.</w:t>
      </w:r>
    </w:p>
    <w:p w14:paraId="723E3AE9" w14:textId="6980D8FB" w:rsidR="0017123A" w:rsidRPr="00DF014B" w:rsidRDefault="0017123A" w:rsidP="0017123A">
      <w:pPr>
        <w:rPr>
          <w:lang w:val="en-US"/>
        </w:rPr>
      </w:pPr>
      <w:r>
        <w:t xml:space="preserve">Appropriate remuneration practices are relevant for sound and effective risk management of firms.  </w:t>
      </w:r>
      <w:r w:rsidR="005A3DB7">
        <w:t xml:space="preserve">This policy will be </w:t>
      </w:r>
      <w:r w:rsidR="00DF014B">
        <w:t>r</w:t>
      </w:r>
      <w:r w:rsidR="00DF014B" w:rsidRPr="00DF014B">
        <w:rPr>
          <w:lang w:val="en-US"/>
        </w:rPr>
        <w:t>eviewed at least annually, and more frequently if there are material changes to the business, regulatory expectations, or identified risks</w:t>
      </w:r>
      <w:r w:rsidR="00DF014B">
        <w:rPr>
          <w:lang w:val="en-US"/>
        </w:rPr>
        <w:t>.</w:t>
      </w:r>
    </w:p>
    <w:p w14:paraId="651ED480" w14:textId="29B3EBCE" w:rsidR="002F4B36" w:rsidRPr="002F4B36" w:rsidRDefault="002F4B36" w:rsidP="0017123A">
      <w:pPr>
        <w:rPr>
          <w:lang w:val="en-US"/>
        </w:rPr>
      </w:pPr>
      <w:r w:rsidRPr="002F4B36">
        <w:rPr>
          <w:lang w:val="en-US"/>
        </w:rPr>
        <w:t>The Board retains overall responsibility for the remuneration policy. Day-to-day oversight is delegated to SMF16</w:t>
      </w:r>
      <w:r>
        <w:rPr>
          <w:lang w:val="en-US"/>
        </w:rPr>
        <w:t xml:space="preserve"> </w:t>
      </w:r>
      <w:r w:rsidRPr="002F4B36">
        <w:rPr>
          <w:lang w:val="en-US"/>
        </w:rPr>
        <w:t>who is responsible for ensuring the policy is implemented, monitored and reviewed.</w:t>
      </w:r>
    </w:p>
    <w:p w14:paraId="5866EA0A" w14:textId="77777777" w:rsidR="0017123A" w:rsidRPr="00F37F2D" w:rsidRDefault="0017123A" w:rsidP="0017123A">
      <w:pPr>
        <w:pStyle w:val="Heading2"/>
      </w:pPr>
      <w:r>
        <w:t>What is the purpose of the rules?</w:t>
      </w:r>
    </w:p>
    <w:p w14:paraId="7F2D62F6" w14:textId="77777777" w:rsidR="0017123A" w:rsidRDefault="0017123A" w:rsidP="0017123A">
      <w:r w:rsidRPr="00F37F2D">
        <w:t xml:space="preserve">The FCA </w:t>
      </w:r>
      <w:r>
        <w:t>do not prescribe how firms should, or should not, incentivise their staff, however standards for firms are clear. Principle 3 of the FCA’s Principles for Businesses states that ‘a firm must take reasonable care to organise and control its affairs responsibly and effectively, with adequate risk management systems’.  Therefore, the FCA expects firms to apply Principle 3 and SYSC when developing incentive schemes for their staff and to have a mitigation strategy in place to manage any risk of mis-selling to consumers that might occur.</w:t>
      </w:r>
    </w:p>
    <w:p w14:paraId="0B3A75B3" w14:textId="2C7E77F8" w:rsidR="0017123A" w:rsidRPr="00E57323" w:rsidRDefault="00E57323" w:rsidP="0017123A">
      <w:pPr>
        <w:spacing w:before="100" w:beforeAutospacing="1" w:after="100" w:afterAutospacing="1" w:line="240" w:lineRule="auto"/>
        <w:rPr>
          <w:lang w:val="en-US"/>
        </w:rPr>
      </w:pPr>
      <w:r w:rsidRPr="00E57323">
        <w:rPr>
          <w:lang w:val="en-US"/>
        </w:rPr>
        <w:t>MiFID II places strict restrictions on remuneration practices that could incentivise staff to recommend a product that does not best meet the client’s needs.</w:t>
      </w:r>
    </w:p>
    <w:p w14:paraId="5CC21118" w14:textId="77777777" w:rsidR="0017123A" w:rsidRPr="00026B4C" w:rsidRDefault="0017123A" w:rsidP="0017123A">
      <w:pPr>
        <w:spacing w:before="100" w:beforeAutospacing="1" w:after="100" w:afterAutospacing="1" w:line="240" w:lineRule="auto"/>
      </w:pPr>
      <w:r w:rsidRPr="00793179">
        <w:t>Remuneration forms part of the culture and governance priority. As a key driver of behaviour, remuneration of senior and risk-taking staff is an important area of focus, to make sure that risk and reward are aligned.</w:t>
      </w:r>
    </w:p>
    <w:p w14:paraId="1C16A0FC" w14:textId="77777777" w:rsidR="0017123A" w:rsidRPr="00793179" w:rsidRDefault="0017123A" w:rsidP="0017123A">
      <w:pPr>
        <w:spacing w:before="100" w:beforeAutospacing="1" w:after="100" w:afterAutospacing="1" w:line="240" w:lineRule="auto"/>
      </w:pPr>
      <w:r w:rsidRPr="00793179">
        <w:t>Implementing appropriate remuneration policies and practices helps to ensure appropriate outcomes and reduces the likelihood of harm. </w:t>
      </w:r>
    </w:p>
    <w:p w14:paraId="2B2AA02A" w14:textId="47CAE28D" w:rsidR="0017123A" w:rsidRDefault="0017123A" w:rsidP="0017123A">
      <w:pPr>
        <w:spacing w:before="100" w:beforeAutospacing="1" w:after="100" w:afterAutospacing="1" w:line="240" w:lineRule="auto"/>
      </w:pPr>
      <w:r w:rsidRPr="00026B4C">
        <w:rPr>
          <w:color w:val="FF0000"/>
        </w:rPr>
        <w:t xml:space="preserve">Firm name </w:t>
      </w:r>
      <w:r w:rsidRPr="00026B4C">
        <w:t>must</w:t>
      </w:r>
      <w:r w:rsidRPr="00793179">
        <w:t xml:space="preserve"> be able to demonstrate how their remuneration practices lead to </w:t>
      </w:r>
      <w:r w:rsidR="00C11F53">
        <w:t>good customer</w:t>
      </w:r>
      <w:r w:rsidRPr="00793179">
        <w:t xml:space="preserve"> outcomes</w:t>
      </w:r>
      <w:r w:rsidR="00C11F53">
        <w:t xml:space="preserve"> th</w:t>
      </w:r>
      <w:r w:rsidR="00883772">
        <w:t>r</w:t>
      </w:r>
      <w:r w:rsidR="00C11F53">
        <w:t>ough the use of management information, including file review results, complaint trends, persistency data, and conduct metrics.  Where risks are identified, corrective action is taken.</w:t>
      </w:r>
      <w:r>
        <w:t xml:space="preserve"> </w:t>
      </w:r>
    </w:p>
    <w:p w14:paraId="0F3C42ED" w14:textId="1447A36F" w:rsidR="00BF53FF" w:rsidRPr="00973572" w:rsidRDefault="00BF53FF" w:rsidP="00BF53FF">
      <w:pPr>
        <w:rPr>
          <w:b/>
          <w:bCs/>
        </w:rPr>
      </w:pPr>
      <w:r>
        <w:rPr>
          <w:b/>
          <w:bCs/>
        </w:rPr>
        <w:t>Consumer Duty</w:t>
      </w:r>
    </w:p>
    <w:p w14:paraId="30D23CA7" w14:textId="77777777" w:rsidR="00C11F53" w:rsidRPr="00C11F53" w:rsidRDefault="00C11F53" w:rsidP="00C11F53">
      <w:pPr>
        <w:spacing w:before="100" w:beforeAutospacing="1" w:after="100" w:afterAutospacing="1" w:line="240" w:lineRule="auto"/>
        <w:rPr>
          <w:lang w:val="en-US"/>
        </w:rPr>
      </w:pPr>
      <w:r w:rsidRPr="00C11F53">
        <w:rPr>
          <w:lang w:val="en-US"/>
        </w:rPr>
        <w:t>The firm ensures that its remuneration structures support the delivery of good outcomes for retail customers in line with the Consumer Duty (PRIN 2A).</w:t>
      </w:r>
      <w:r w:rsidRPr="00C11F53">
        <w:rPr>
          <w:lang w:val="en-US"/>
        </w:rPr>
        <w:br/>
        <w:t>Remuneration frameworks are designed to:</w:t>
      </w:r>
    </w:p>
    <w:p w14:paraId="0C6DA41E"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Avoid creating incentives that could lead to foreseeable harm</w:t>
      </w:r>
    </w:p>
    <w:p w14:paraId="653DD762"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Support staff behaviour consistent with acting in good faith towards customers</w:t>
      </w:r>
    </w:p>
    <w:p w14:paraId="107CA531"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Enable fair value to be delivered through appropriate product recommendations</w:t>
      </w:r>
    </w:p>
    <w:p w14:paraId="18DA136F" w14:textId="77777777" w:rsidR="00C11F53" w:rsidRPr="00C11F53" w:rsidRDefault="00C11F53" w:rsidP="00C11F53">
      <w:pPr>
        <w:numPr>
          <w:ilvl w:val="0"/>
          <w:numId w:val="20"/>
        </w:numPr>
        <w:spacing w:before="100" w:beforeAutospacing="1" w:after="100" w:afterAutospacing="1" w:line="240" w:lineRule="auto"/>
        <w:rPr>
          <w:lang w:val="en-US"/>
        </w:rPr>
      </w:pPr>
      <w:r w:rsidRPr="00C11F53">
        <w:rPr>
          <w:lang w:val="en-US"/>
        </w:rPr>
        <w:t>Reinforce the firm’s culture of delivering good customer outcomes</w:t>
      </w:r>
    </w:p>
    <w:p w14:paraId="09013ADF" w14:textId="365E496A" w:rsidR="00BF53FF" w:rsidRDefault="00C11F53" w:rsidP="00BF53FF">
      <w:pPr>
        <w:spacing w:before="100" w:beforeAutospacing="1" w:after="100" w:afterAutospacing="1" w:line="240" w:lineRule="auto"/>
        <w:rPr>
          <w:lang w:val="en-US"/>
        </w:rPr>
      </w:pPr>
      <w:r w:rsidRPr="00C11F53">
        <w:rPr>
          <w:lang w:val="en-US"/>
        </w:rPr>
        <w:t>The firm monitors whether remuneration practices are aligned with customer outcomes and takes action where risks are identified.</w:t>
      </w:r>
      <w:r w:rsidR="007555C2">
        <w:rPr>
          <w:lang w:val="en-US"/>
        </w:rPr>
        <w:t xml:space="preserve">  Evidence of remuneration oversight, challenge and decision-making is documented and retained to support internal governance and regulatory review.</w:t>
      </w:r>
    </w:p>
    <w:p w14:paraId="1D90C716" w14:textId="77777777" w:rsidR="00DF014B" w:rsidRPr="00C11F53" w:rsidRDefault="00DF014B" w:rsidP="00BF53FF">
      <w:pPr>
        <w:spacing w:before="100" w:beforeAutospacing="1" w:after="100" w:afterAutospacing="1" w:line="240" w:lineRule="auto"/>
        <w:rPr>
          <w:lang w:val="en-US"/>
        </w:rPr>
      </w:pPr>
    </w:p>
    <w:p w14:paraId="1D4F4314" w14:textId="77777777" w:rsidR="0017123A" w:rsidRPr="00973572" w:rsidRDefault="0017123A" w:rsidP="0017123A">
      <w:pPr>
        <w:rPr>
          <w:b/>
          <w:bCs/>
        </w:rPr>
      </w:pPr>
      <w:r w:rsidRPr="00973572">
        <w:rPr>
          <w:b/>
          <w:bCs/>
        </w:rPr>
        <w:t>What are the risks to our clients?</w:t>
      </w:r>
    </w:p>
    <w:p w14:paraId="04CD0540" w14:textId="77777777" w:rsidR="0017123A" w:rsidRDefault="0017123A" w:rsidP="0017123A">
      <w:r>
        <w:t xml:space="preserve">Incentive schemes can increase the risk of poor outcomes for clients. The likelihood of mis-selling increases when the value of incentives available to sales staff increases, or when incentives make up a high proportion of a remuneration package for sales staff. Customers are likely to lose out if: </w:t>
      </w:r>
    </w:p>
    <w:p w14:paraId="484F1774" w14:textId="0FD05997" w:rsidR="0017123A" w:rsidRDefault="0017123A" w:rsidP="0017123A">
      <w:pPr>
        <w:pStyle w:val="ListParagraph"/>
        <w:numPr>
          <w:ilvl w:val="0"/>
          <w:numId w:val="19"/>
        </w:numPr>
      </w:pPr>
      <w:r>
        <w:t>staff are reward</w:t>
      </w:r>
      <w:r w:rsidR="00883772">
        <w:t>ed</w:t>
      </w:r>
      <w:r>
        <w:t xml:space="preserve"> through material incentive schemes based on sales volumes, fee income or similar measures; </w:t>
      </w:r>
    </w:p>
    <w:p w14:paraId="1D43A79E" w14:textId="77777777" w:rsidR="0017123A" w:rsidRDefault="0017123A" w:rsidP="0017123A">
      <w:pPr>
        <w:pStyle w:val="ListParagraph"/>
        <w:numPr>
          <w:ilvl w:val="0"/>
          <w:numId w:val="19"/>
        </w:numPr>
      </w:pPr>
      <w:r>
        <w:t xml:space="preserve">incentive schemes include features that are harder to manage; </w:t>
      </w:r>
    </w:p>
    <w:p w14:paraId="47821025" w14:textId="77777777" w:rsidR="0017123A" w:rsidRDefault="0017123A" w:rsidP="0017123A">
      <w:pPr>
        <w:pStyle w:val="ListParagraph"/>
        <w:numPr>
          <w:ilvl w:val="0"/>
          <w:numId w:val="19"/>
        </w:numPr>
      </w:pPr>
      <w:r>
        <w:t xml:space="preserve">management do not understand how the specific features, complexity and value of their incentive schemes could increase mis-selling; and/or </w:t>
      </w:r>
    </w:p>
    <w:p w14:paraId="5A9C5288" w14:textId="1BE92684" w:rsidR="0017123A" w:rsidRPr="00651C55" w:rsidRDefault="0017123A" w:rsidP="0017123A">
      <w:pPr>
        <w:pStyle w:val="ListParagraph"/>
        <w:numPr>
          <w:ilvl w:val="0"/>
          <w:numId w:val="19"/>
        </w:numPr>
      </w:pPr>
      <w:r>
        <w:t>poor quality sales or mis-selling are not adequately reflected in the eligibility for, or level of, incentive payments.</w:t>
      </w:r>
    </w:p>
    <w:p w14:paraId="3A17149B" w14:textId="77777777" w:rsidR="0017123A" w:rsidRDefault="0017123A" w:rsidP="0017123A">
      <w:pPr>
        <w:pStyle w:val="Heading2"/>
      </w:pPr>
      <w:r>
        <w:t>What are the principal requirements?</w:t>
      </w:r>
    </w:p>
    <w:p w14:paraId="227E590D" w14:textId="77777777" w:rsidR="0017123A" w:rsidRPr="00793179" w:rsidRDefault="0017123A" w:rsidP="0017123A">
      <w:pPr>
        <w:spacing w:before="100" w:beforeAutospacing="1" w:after="100" w:afterAutospacing="1" w:line="240" w:lineRule="auto"/>
      </w:pPr>
      <w:r w:rsidRPr="005F1463">
        <w:rPr>
          <w:color w:val="FF0000"/>
        </w:rPr>
        <w:t xml:space="preserve">Firm name </w:t>
      </w:r>
      <w:r w:rsidRPr="00793179">
        <w:t xml:space="preserve">must make sure </w:t>
      </w:r>
      <w:r>
        <w:t>its</w:t>
      </w:r>
      <w:r w:rsidRPr="00793179">
        <w:t xml:space="preserve"> remuneration policies and practices are consistent with and promote sound and effective risk management.</w:t>
      </w:r>
    </w:p>
    <w:p w14:paraId="642AF9EC" w14:textId="77777777" w:rsidR="0017123A" w:rsidRPr="00793179" w:rsidRDefault="0017123A" w:rsidP="0017123A">
      <w:pPr>
        <w:spacing w:before="100" w:beforeAutospacing="1" w:after="100" w:afterAutospacing="1" w:line="240" w:lineRule="auto"/>
      </w:pPr>
      <w:r w:rsidRPr="00793179">
        <w:t>This includes the following:</w:t>
      </w:r>
    </w:p>
    <w:p w14:paraId="5FC2C765"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Deferring a certain proportion of relevant bonuses over a number of years</w:t>
      </w:r>
      <w:r w:rsidRPr="005F1463">
        <w:t xml:space="preserve">, </w:t>
      </w:r>
      <w:r w:rsidRPr="00793179">
        <w:t>including greater proportions and longer periods for the most senior and highly paid staff.</w:t>
      </w:r>
    </w:p>
    <w:p w14:paraId="4E6866C6"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Awarding a certain proportion of a bonus in shares, share-linked instruments or other equivalent non-cash instruments (or units of shares of the alternative investment fund for firms subject to SYSC 19B or units or shares of the UCITS, equivalent ownership interests in the UCITS, share-linked instruments relating to the UCITS concerned, or equivalent non-cash instruments with equally effective incentives). These shares or instruments should be subject to an appropriate retention period.</w:t>
      </w:r>
    </w:p>
    <w:p w14:paraId="163BA827"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Ensure guarantees are only given in exceptional circumstances to new hires for the first year of service.</w:t>
      </w:r>
    </w:p>
    <w:p w14:paraId="09AE9B11"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Ensure senior management adopts and periodically reviews the general principles of the firm’s remuneration policy and ensure its implementation as well as disclosure of details of their firm’s remuneration policies at least annually.</w:t>
      </w:r>
    </w:p>
    <w:p w14:paraId="0A7F85D0" w14:textId="680B7438"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 xml:space="preserve">Variable remuneration is risk-adjusted and performance is assessed </w:t>
      </w:r>
      <w:r w:rsidR="009F22CF">
        <w:t>using both</w:t>
      </w:r>
      <w:r w:rsidRPr="00793179">
        <w:t xml:space="preserve"> financial and non-financial </w:t>
      </w:r>
      <w:r w:rsidR="009F22CF">
        <w:t>criteria, including</w:t>
      </w:r>
      <w:r w:rsidRPr="00793179">
        <w:t xml:space="preserve"> </w:t>
      </w:r>
      <w:r w:rsidR="00981BD4">
        <w:t>compliance quality, customer outcomes, adherence to internal policies, and conduct standards.  Poor conduct or poor customer outcomes will reduce or eliminate variable remuneration.</w:t>
      </w:r>
    </w:p>
    <w:p w14:paraId="593D3D99" w14:textId="77777777" w:rsidR="0017123A" w:rsidRPr="00793179" w:rsidRDefault="0017123A" w:rsidP="0017123A">
      <w:pPr>
        <w:numPr>
          <w:ilvl w:val="0"/>
          <w:numId w:val="17"/>
        </w:numPr>
        <w:tabs>
          <w:tab w:val="clear" w:pos="720"/>
          <w:tab w:val="num" w:pos="284"/>
        </w:tabs>
        <w:spacing w:before="100" w:beforeAutospacing="1" w:after="100" w:afterAutospacing="1" w:line="240" w:lineRule="auto"/>
        <w:ind w:left="284" w:hanging="284"/>
      </w:pPr>
      <w:r w:rsidRPr="00793179">
        <w:t>Ensure that any variable remuneration, including a deferred portion, is paid or vests only if it is sustainable according to the financial situation of the firm as a whole, and justified on the basis of the overall performance of the firm, the relevant business unit and the individual concerned.</w:t>
      </w:r>
    </w:p>
    <w:p w14:paraId="1D7109E6" w14:textId="34D962F2" w:rsidR="0017123A" w:rsidRPr="00793179" w:rsidRDefault="0017123A" w:rsidP="0017123A">
      <w:pPr>
        <w:spacing w:before="100" w:beforeAutospacing="1" w:after="100" w:afterAutospacing="1" w:line="240" w:lineRule="auto"/>
      </w:pPr>
      <w:r w:rsidRPr="00F37F2D">
        <w:rPr>
          <w:color w:val="FF0000"/>
        </w:rPr>
        <w:t xml:space="preserve">Firm name </w:t>
      </w:r>
      <w:r w:rsidRPr="005F1463">
        <w:t xml:space="preserve">is </w:t>
      </w:r>
      <w:r w:rsidRPr="00793179">
        <w:t xml:space="preserve">subject </w:t>
      </w:r>
      <w:r w:rsidR="00895544">
        <w:t>to the applicable FCA Remuneration Code (including SYSC 19A, 19B or 19F as applicable)</w:t>
      </w:r>
      <w:r w:rsidRPr="00793179">
        <w:t xml:space="preserve"> </w:t>
      </w:r>
      <w:r w:rsidRPr="005F1463">
        <w:t xml:space="preserve">which means it </w:t>
      </w:r>
      <w:r w:rsidRPr="00793179">
        <w:t xml:space="preserve">must ensure that </w:t>
      </w:r>
      <w:r w:rsidRPr="005F1463">
        <w:t>its</w:t>
      </w:r>
      <w:r w:rsidRPr="00793179">
        <w:t xml:space="preserve"> remuneration policies and practices:</w:t>
      </w:r>
    </w:p>
    <w:p w14:paraId="149584F0" w14:textId="77777777" w:rsidR="0017123A" w:rsidRPr="00793179"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do not remunerate or assess the performance of staff in a way that conflicts with their duty to act in the best interests of the firm’s clients</w:t>
      </w:r>
    </w:p>
    <w:p w14:paraId="30B2AB52" w14:textId="768C9BB2" w:rsidR="00651C55" w:rsidRPr="00973572" w:rsidRDefault="0017123A" w:rsidP="00DF014B">
      <w:pPr>
        <w:numPr>
          <w:ilvl w:val="0"/>
          <w:numId w:val="18"/>
        </w:numPr>
        <w:tabs>
          <w:tab w:val="clear" w:pos="720"/>
          <w:tab w:val="num" w:pos="284"/>
        </w:tabs>
        <w:spacing w:before="100" w:beforeAutospacing="1" w:after="100" w:afterAutospacing="1" w:line="240" w:lineRule="auto"/>
        <w:ind w:left="284" w:hanging="284"/>
      </w:pPr>
      <w:r w:rsidRPr="00793179">
        <w:lastRenderedPageBreak/>
        <w:t>ensure that client interests and the right to be treated fairly are not impaired by the remuneration practices adopted by the firm in the short, medium or long term</w:t>
      </w:r>
    </w:p>
    <w:p w14:paraId="3F94D2A7" w14:textId="77777777" w:rsidR="0017123A" w:rsidRDefault="0017123A" w:rsidP="0017123A">
      <w:pPr>
        <w:pStyle w:val="Heading2"/>
      </w:pPr>
      <w:r>
        <w:t xml:space="preserve">Which staff does the remuneration policy </w:t>
      </w:r>
      <w:r w:rsidRPr="005F1463">
        <w:rPr>
          <w:i/>
          <w:iCs/>
        </w:rPr>
        <w:t>in general</w:t>
      </w:r>
      <w:r>
        <w:t xml:space="preserve"> affect?</w:t>
      </w:r>
    </w:p>
    <w:p w14:paraId="701487DB" w14:textId="35CA96A7" w:rsidR="00391FB6" w:rsidRPr="00391FB6" w:rsidRDefault="00391FB6" w:rsidP="00391FB6">
      <w:pPr>
        <w:rPr>
          <w:lang w:val="en-US"/>
        </w:rPr>
      </w:pPr>
      <w:r>
        <w:rPr>
          <w:lang w:val="en-US"/>
        </w:rPr>
        <w:t xml:space="preserve">This policy </w:t>
      </w:r>
      <w:r w:rsidRPr="00391FB6">
        <w:rPr>
          <w:lang w:val="en-US"/>
        </w:rPr>
        <w:t>applies to all staff, with particular focus on those whose activities can materially impact customer outcomes or the firm’s risk profile</w:t>
      </w:r>
      <w:r>
        <w:rPr>
          <w:lang w:val="en-US"/>
        </w:rPr>
        <w:t>, e.g.:</w:t>
      </w:r>
    </w:p>
    <w:p w14:paraId="4B621454" w14:textId="77777777" w:rsidR="0017123A" w:rsidRPr="00793179"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senior management</w:t>
      </w:r>
    </w:p>
    <w:p w14:paraId="0CB2B52F" w14:textId="77777777" w:rsidR="0017123A" w:rsidRPr="00793179" w:rsidRDefault="0017123A" w:rsidP="0017123A">
      <w:pPr>
        <w:numPr>
          <w:ilvl w:val="0"/>
          <w:numId w:val="18"/>
        </w:numPr>
        <w:tabs>
          <w:tab w:val="clear" w:pos="720"/>
          <w:tab w:val="num" w:pos="284"/>
        </w:tabs>
        <w:spacing w:before="100" w:beforeAutospacing="1" w:after="100" w:afterAutospacing="1" w:line="240" w:lineRule="auto"/>
        <w:ind w:left="284" w:hanging="284"/>
      </w:pPr>
      <w:r w:rsidRPr="00793179">
        <w:t>risk takers and staff in control functions</w:t>
      </w:r>
    </w:p>
    <w:p w14:paraId="27B15FE8" w14:textId="77777777" w:rsidR="0017123A" w:rsidRDefault="0017123A" w:rsidP="0017123A">
      <w:pPr>
        <w:numPr>
          <w:ilvl w:val="0"/>
          <w:numId w:val="18"/>
        </w:numPr>
        <w:tabs>
          <w:tab w:val="clear" w:pos="720"/>
          <w:tab w:val="num" w:pos="284"/>
        </w:tabs>
        <w:spacing w:before="100" w:beforeAutospacing="1" w:after="100" w:afterAutospacing="1" w:line="240" w:lineRule="auto"/>
        <w:ind w:left="284" w:hanging="284"/>
        <w:sectPr w:rsidR="0017123A">
          <w:pgSz w:w="11906" w:h="16838"/>
          <w:pgMar w:top="1440" w:right="1440" w:bottom="1440" w:left="1440" w:header="708" w:footer="708" w:gutter="0"/>
          <w:cols w:space="708"/>
          <w:docGrid w:linePitch="360"/>
        </w:sectPr>
      </w:pPr>
      <w:r w:rsidRPr="00793179">
        <w:t>those earning in the same remuneration bracket as the above, whose professional activities have a material impact on the firm’s risk profile </w:t>
      </w:r>
    </w:p>
    <w:p w14:paraId="00FA7704" w14:textId="77777777" w:rsidR="00655576" w:rsidRPr="00260B90" w:rsidRDefault="00655576" w:rsidP="00391FB6">
      <w:pPr>
        <w:pStyle w:val="Heading1"/>
      </w:pPr>
      <w:r w:rsidRPr="00260B90">
        <w:lastRenderedPageBreak/>
        <w:t>Appendix – 1 – Remuneration Assessment</w:t>
      </w:r>
    </w:p>
    <w:p w14:paraId="738D068D" w14:textId="0AF8485A" w:rsidR="00391FB6" w:rsidRPr="00C64F67" w:rsidRDefault="00391FB6" w:rsidP="00C64F67">
      <w:pPr>
        <w:pStyle w:val="ListParagraph"/>
        <w:numPr>
          <w:ilvl w:val="0"/>
          <w:numId w:val="18"/>
        </w:numPr>
        <w:rPr>
          <w:lang w:val="en-US"/>
        </w:rPr>
      </w:pPr>
      <w:r>
        <w:t xml:space="preserve">The firm completes </w:t>
      </w:r>
      <w:r w:rsidR="00C64F67" w:rsidRPr="00C64F67">
        <w:rPr>
          <w:lang w:val="en-US"/>
        </w:rPr>
        <w:t>the below assessment at least annually and documents actions taken where risks are identified</w:t>
      </w:r>
      <w:r w:rsidR="00C64F67">
        <w:rPr>
          <w:lang w:val="en-US"/>
        </w:rPr>
        <w:t>.</w:t>
      </w:r>
    </w:p>
    <w:p w14:paraId="23B49292" w14:textId="4F726B59" w:rsidR="00655576" w:rsidRDefault="00655576" w:rsidP="00655576">
      <w:pPr>
        <w:pStyle w:val="ListParagraph"/>
        <w:numPr>
          <w:ilvl w:val="0"/>
          <w:numId w:val="18"/>
        </w:numPr>
      </w:pPr>
      <w:r>
        <w:t>In assessing the risk arising from the features of incentive schemes, firms should consider a wide range of mis-selling risks that may arise. They should consider factors such as type of product and the method of distribution, for example, advised or non-advised, face-to-face or telephone. Firms may need to take steps to remove features or change their incentive schemes if they are unmanageable</w:t>
      </w:r>
    </w:p>
    <w:p w14:paraId="6167B4C5" w14:textId="77777777" w:rsidR="00655576" w:rsidRPr="00655576" w:rsidRDefault="00655576" w:rsidP="00655576">
      <w:pPr>
        <w:pStyle w:val="ListParagraph"/>
        <w:numPr>
          <w:ilvl w:val="0"/>
          <w:numId w:val="18"/>
        </w:numPr>
        <w:rPr>
          <w:lang w:val="en-US"/>
        </w:rPr>
      </w:pPr>
      <w:r>
        <w:t>In making changes to incentive schemes, or individual features, firms will need to identify any different risks that might arise from these changes and manage these effectively</w:t>
      </w:r>
    </w:p>
    <w:tbl>
      <w:tblPr>
        <w:tblStyle w:val="TTable1"/>
        <w:tblW w:w="14175" w:type="dxa"/>
        <w:tblLook w:val="04A0" w:firstRow="1" w:lastRow="0" w:firstColumn="1" w:lastColumn="0" w:noHBand="0" w:noVBand="1"/>
      </w:tblPr>
      <w:tblGrid>
        <w:gridCol w:w="5812"/>
        <w:gridCol w:w="8363"/>
      </w:tblGrid>
      <w:tr w:rsidR="00655576" w:rsidRPr="00D73874" w14:paraId="7A996E8C" w14:textId="77777777" w:rsidTr="00FF2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28EC4B7" w14:textId="77777777" w:rsidR="00655576" w:rsidRPr="00AF6D18" w:rsidRDefault="00655576" w:rsidP="00FF22AB">
            <w:pPr>
              <w:jc w:val="left"/>
              <w:rPr>
                <w:sz w:val="22"/>
                <w:szCs w:val="22"/>
              </w:rPr>
            </w:pPr>
            <w:r>
              <w:rPr>
                <w:sz w:val="22"/>
                <w:szCs w:val="22"/>
              </w:rPr>
              <w:t>Measure</w:t>
            </w:r>
          </w:p>
        </w:tc>
        <w:tc>
          <w:tcPr>
            <w:tcW w:w="8363" w:type="dxa"/>
          </w:tcPr>
          <w:p w14:paraId="1A1D8C3B" w14:textId="77777777" w:rsidR="00655576" w:rsidRPr="00AF6D18" w:rsidRDefault="00655576" w:rsidP="00FF22AB">
            <w:pPr>
              <w:jc w:val="left"/>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Response</w:t>
            </w:r>
          </w:p>
        </w:tc>
      </w:tr>
      <w:tr w:rsidR="00655576" w:rsidRPr="00D73874" w14:paraId="22053AE9"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B32FD1F" w14:textId="77777777" w:rsidR="00655576" w:rsidRPr="00D73874" w:rsidRDefault="00655576" w:rsidP="00FF22AB">
            <w:pPr>
              <w:rPr>
                <w:b w:val="0"/>
                <w:bCs/>
              </w:rPr>
            </w:pPr>
            <w:r>
              <w:rPr>
                <w:b w:val="0"/>
                <w:bCs/>
              </w:rPr>
              <w:t>Does the firm have any incentive features that are high risk because they strongly promote aggressive sales behaviour, and are they appropriately controlled</w:t>
            </w:r>
          </w:p>
        </w:tc>
        <w:tc>
          <w:tcPr>
            <w:tcW w:w="8363" w:type="dxa"/>
          </w:tcPr>
          <w:p w14:paraId="1E258FAA" w14:textId="77777777" w:rsidR="00655576" w:rsidRPr="00D73874" w:rsidRDefault="00655576" w:rsidP="00FF22AB">
            <w:pPr>
              <w:cnfStyle w:val="000000100000" w:firstRow="0" w:lastRow="0" w:firstColumn="0" w:lastColumn="0" w:oddVBand="0" w:evenVBand="0" w:oddHBand="1" w:evenHBand="0" w:firstRowFirstColumn="0" w:firstRowLastColumn="0" w:lastRowFirstColumn="0" w:lastRowLastColumn="0"/>
            </w:pPr>
            <w:r w:rsidRPr="00D73874">
              <w:t xml:space="preserve"> </w:t>
            </w:r>
          </w:p>
        </w:tc>
      </w:tr>
      <w:tr w:rsidR="00655576" w:rsidRPr="00D73874" w14:paraId="790944F4"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3DB1C16E" w14:textId="77777777" w:rsidR="00655576" w:rsidRPr="00D73874" w:rsidRDefault="00655576" w:rsidP="00FF22AB">
            <w:pPr>
              <w:rPr>
                <w:b w:val="0"/>
                <w:bCs/>
              </w:rPr>
            </w:pPr>
            <w:r>
              <w:rPr>
                <w:b w:val="0"/>
                <w:bCs/>
              </w:rPr>
              <w:t>What management information is used to check for spikes and trends in the sales patterns of individuals to identify areas of increased risk</w:t>
            </w:r>
          </w:p>
        </w:tc>
        <w:tc>
          <w:tcPr>
            <w:tcW w:w="8363" w:type="dxa"/>
          </w:tcPr>
          <w:p w14:paraId="6756690F" w14:textId="77777777" w:rsidR="00655576" w:rsidRPr="00D73874" w:rsidRDefault="00655576" w:rsidP="00FF22AB">
            <w:pPr>
              <w:cnfStyle w:val="000000010000" w:firstRow="0" w:lastRow="0" w:firstColumn="0" w:lastColumn="0" w:oddVBand="0" w:evenVBand="0" w:oddHBand="0" w:evenHBand="1" w:firstRowFirstColumn="0" w:firstRowLastColumn="0" w:lastRowFirstColumn="0" w:lastRowLastColumn="0"/>
            </w:pPr>
          </w:p>
        </w:tc>
      </w:tr>
      <w:tr w:rsidR="00655576" w:rsidRPr="00D73874" w14:paraId="608E0509"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3A7430B" w14:textId="77777777" w:rsidR="00655576" w:rsidRPr="00D73874" w:rsidRDefault="00655576" w:rsidP="00FF22AB">
            <w:pPr>
              <w:rPr>
                <w:b w:val="0"/>
                <w:bCs/>
              </w:rPr>
            </w:pPr>
            <w:r>
              <w:rPr>
                <w:b w:val="0"/>
                <w:bCs/>
              </w:rPr>
              <w:t>Has any inappropriate staff behaviour been identified, particularly in face-to-face sales</w:t>
            </w:r>
          </w:p>
        </w:tc>
        <w:tc>
          <w:tcPr>
            <w:tcW w:w="8363" w:type="dxa"/>
          </w:tcPr>
          <w:p w14:paraId="72C3E751" w14:textId="77777777" w:rsidR="00655576" w:rsidRPr="00D73874" w:rsidRDefault="00655576" w:rsidP="00FF22AB">
            <w:pPr>
              <w:cnfStyle w:val="000000100000" w:firstRow="0" w:lastRow="0" w:firstColumn="0" w:lastColumn="0" w:oddVBand="0" w:evenVBand="0" w:oddHBand="1" w:evenHBand="0" w:firstRowFirstColumn="0" w:firstRowLastColumn="0" w:lastRowFirstColumn="0" w:lastRowLastColumn="0"/>
            </w:pPr>
          </w:p>
        </w:tc>
      </w:tr>
      <w:tr w:rsidR="00655576" w:rsidRPr="00D73874" w14:paraId="17329CAF"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36418CA" w14:textId="77777777" w:rsidR="00655576" w:rsidRPr="00D73874" w:rsidRDefault="00655576" w:rsidP="00FF22AB">
            <w:pPr>
              <w:rPr>
                <w:b w:val="0"/>
                <w:bCs/>
              </w:rPr>
            </w:pPr>
            <w:r>
              <w:rPr>
                <w:b w:val="0"/>
                <w:bCs/>
              </w:rPr>
              <w:t>How is the firm managing the risk in any discretionary schemes</w:t>
            </w:r>
          </w:p>
        </w:tc>
        <w:tc>
          <w:tcPr>
            <w:tcW w:w="8363" w:type="dxa"/>
          </w:tcPr>
          <w:p w14:paraId="7217D426" w14:textId="77777777" w:rsidR="00655576" w:rsidRPr="00D73874" w:rsidRDefault="00655576" w:rsidP="00FF22AB">
            <w:pPr>
              <w:cnfStyle w:val="000000010000" w:firstRow="0" w:lastRow="0" w:firstColumn="0" w:lastColumn="0" w:oddVBand="0" w:evenVBand="0" w:oddHBand="0" w:evenHBand="1" w:firstRowFirstColumn="0" w:firstRowLastColumn="0" w:lastRowFirstColumn="0" w:lastRowLastColumn="0"/>
            </w:pPr>
          </w:p>
        </w:tc>
      </w:tr>
      <w:tr w:rsidR="00655576" w:rsidRPr="00D73874" w14:paraId="1786DEFF"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BB1A830" w14:textId="77777777" w:rsidR="00655576" w:rsidRPr="00D73874" w:rsidRDefault="00655576" w:rsidP="00FF22AB">
            <w:pPr>
              <w:rPr>
                <w:b w:val="0"/>
                <w:bCs/>
              </w:rPr>
            </w:pPr>
            <w:r>
              <w:rPr>
                <w:b w:val="0"/>
                <w:bCs/>
              </w:rPr>
              <w:t>How is the firm monitoring non-advised sales staff to ensure they are not giving advice</w:t>
            </w:r>
          </w:p>
        </w:tc>
        <w:tc>
          <w:tcPr>
            <w:tcW w:w="8363" w:type="dxa"/>
          </w:tcPr>
          <w:p w14:paraId="398DFF45" w14:textId="77777777" w:rsidR="00655576" w:rsidRPr="00D73874" w:rsidRDefault="00655576" w:rsidP="00FF22AB">
            <w:pPr>
              <w:cnfStyle w:val="000000100000" w:firstRow="0" w:lastRow="0" w:firstColumn="0" w:lastColumn="0" w:oddVBand="0" w:evenVBand="0" w:oddHBand="1" w:evenHBand="0" w:firstRowFirstColumn="0" w:firstRowLastColumn="0" w:lastRowFirstColumn="0" w:lastRowLastColumn="0"/>
            </w:pPr>
          </w:p>
        </w:tc>
      </w:tr>
      <w:tr w:rsidR="00655576" w:rsidRPr="00D73874" w14:paraId="23B150C3"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C25A9D0" w14:textId="77777777" w:rsidR="00655576" w:rsidRPr="00D73874" w:rsidRDefault="00655576" w:rsidP="00FF22AB">
            <w:pPr>
              <w:rPr>
                <w:b w:val="0"/>
                <w:bCs/>
              </w:rPr>
            </w:pPr>
            <w:r>
              <w:rPr>
                <w:b w:val="0"/>
                <w:bCs/>
              </w:rPr>
              <w:t>What oversight is in place regarding the use of incentives with Appointed Representatives</w:t>
            </w:r>
          </w:p>
        </w:tc>
        <w:tc>
          <w:tcPr>
            <w:tcW w:w="8363" w:type="dxa"/>
          </w:tcPr>
          <w:p w14:paraId="3BF06DD9" w14:textId="77777777" w:rsidR="00655576" w:rsidRDefault="00655576" w:rsidP="00FF22AB">
            <w:pPr>
              <w:cnfStyle w:val="000000010000" w:firstRow="0" w:lastRow="0" w:firstColumn="0" w:lastColumn="0" w:oddVBand="0" w:evenVBand="0" w:oddHBand="0" w:evenHBand="1" w:firstRowFirstColumn="0" w:firstRowLastColumn="0" w:lastRowFirstColumn="0" w:lastRowLastColumn="0"/>
            </w:pPr>
          </w:p>
          <w:p w14:paraId="11B2FD25" w14:textId="77777777" w:rsidR="00655576" w:rsidRPr="00C071F0" w:rsidRDefault="00655576" w:rsidP="00FF22AB">
            <w:pPr>
              <w:cnfStyle w:val="000000010000" w:firstRow="0" w:lastRow="0" w:firstColumn="0" w:lastColumn="0" w:oddVBand="0" w:evenVBand="0" w:oddHBand="0" w:evenHBand="1" w:firstRowFirstColumn="0" w:firstRowLastColumn="0" w:lastRowFirstColumn="0" w:lastRowLastColumn="0"/>
            </w:pPr>
          </w:p>
          <w:p w14:paraId="1AA629B8" w14:textId="77777777" w:rsidR="00655576" w:rsidRDefault="00655576" w:rsidP="00FF22AB">
            <w:pPr>
              <w:cnfStyle w:val="000000010000" w:firstRow="0" w:lastRow="0" w:firstColumn="0" w:lastColumn="0" w:oddVBand="0" w:evenVBand="0" w:oddHBand="0" w:evenHBand="1" w:firstRowFirstColumn="0" w:firstRowLastColumn="0" w:lastRowFirstColumn="0" w:lastRowLastColumn="0"/>
            </w:pPr>
          </w:p>
          <w:p w14:paraId="739B30F0" w14:textId="77777777" w:rsidR="00655576" w:rsidRPr="00C071F0" w:rsidRDefault="00655576" w:rsidP="00FF22AB">
            <w:pPr>
              <w:cnfStyle w:val="000000010000" w:firstRow="0" w:lastRow="0" w:firstColumn="0" w:lastColumn="0" w:oddVBand="0" w:evenVBand="0" w:oddHBand="0" w:evenHBand="1" w:firstRowFirstColumn="0" w:firstRowLastColumn="0" w:lastRowFirstColumn="0" w:lastRowLastColumn="0"/>
            </w:pPr>
          </w:p>
        </w:tc>
      </w:tr>
      <w:tr w:rsidR="00655576" w:rsidRPr="00D73874" w14:paraId="13162D36"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4742021" w14:textId="77777777" w:rsidR="00655576" w:rsidRPr="00056FC0" w:rsidRDefault="00655576" w:rsidP="00FF22AB">
            <w:pPr>
              <w:rPr>
                <w:b w:val="0"/>
                <w:bCs/>
              </w:rPr>
            </w:pPr>
            <w:r w:rsidRPr="00056FC0">
              <w:rPr>
                <w:b w:val="0"/>
                <w:bCs/>
              </w:rPr>
              <w:lastRenderedPageBreak/>
              <w:t>Is remuneration effectively 100% variable pay based on sales</w:t>
            </w:r>
            <w:r>
              <w:rPr>
                <w:b w:val="0"/>
                <w:bCs/>
              </w:rPr>
              <w:t xml:space="preserve"> and if so, how is this risk being managed</w:t>
            </w:r>
          </w:p>
        </w:tc>
        <w:tc>
          <w:tcPr>
            <w:tcW w:w="8363" w:type="dxa"/>
          </w:tcPr>
          <w:p w14:paraId="56018347"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r w:rsidR="00655576" w:rsidRPr="00D73874" w14:paraId="4906F545"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54D1321B" w14:textId="77777777" w:rsidR="00655576" w:rsidRPr="00DF20F6" w:rsidRDefault="00655576" w:rsidP="00FF22AB">
            <w:pPr>
              <w:rPr>
                <w:b w:val="0"/>
                <w:bCs/>
              </w:rPr>
            </w:pPr>
            <w:r w:rsidRPr="00DF20F6">
              <w:rPr>
                <w:b w:val="0"/>
                <w:bCs/>
              </w:rPr>
              <w:t>Has the way staff are remunerated been considered?  Could it cause them to act in a way that benefits them but is bad for clients?  How would you spot such activity?  Are there increased checks in place in the run up to a deadline that could impact on the adviser’s earnings?</w:t>
            </w:r>
          </w:p>
        </w:tc>
        <w:tc>
          <w:tcPr>
            <w:tcW w:w="8363" w:type="dxa"/>
          </w:tcPr>
          <w:p w14:paraId="787C0634" w14:textId="77777777" w:rsidR="00655576" w:rsidRPr="00AE3051" w:rsidRDefault="00655576" w:rsidP="00FF22AB">
            <w:pPr>
              <w:cnfStyle w:val="000000010000" w:firstRow="0" w:lastRow="0" w:firstColumn="0" w:lastColumn="0" w:oddVBand="0" w:evenVBand="0" w:oddHBand="0" w:evenHBand="1" w:firstRowFirstColumn="0" w:firstRowLastColumn="0" w:lastRowFirstColumn="0" w:lastRowLastColumn="0"/>
              <w:rPr>
                <w:color w:val="FF0000"/>
              </w:rPr>
            </w:pPr>
          </w:p>
        </w:tc>
      </w:tr>
      <w:tr w:rsidR="00655576" w:rsidRPr="00D73874" w14:paraId="7C7EDEB9"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AFC45FD" w14:textId="77777777" w:rsidR="00655576" w:rsidRPr="00DF20F6" w:rsidRDefault="00655576" w:rsidP="00FF22AB">
            <w:pPr>
              <w:rPr>
                <w:b w:val="0"/>
                <w:bCs/>
              </w:rPr>
            </w:pPr>
            <w:r w:rsidRPr="00DF20F6">
              <w:rPr>
                <w:b w:val="0"/>
                <w:bCs/>
              </w:rPr>
              <w:t>Do key performance indicators used take account of information captured</w:t>
            </w:r>
          </w:p>
        </w:tc>
        <w:tc>
          <w:tcPr>
            <w:tcW w:w="8363" w:type="dxa"/>
          </w:tcPr>
          <w:p w14:paraId="2B15C04C"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r w:rsidR="00655576" w:rsidRPr="00D73874" w14:paraId="7C3A93B5"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A336B79" w14:textId="77777777" w:rsidR="00655576" w:rsidRPr="00DF20F6" w:rsidRDefault="00655576" w:rsidP="00FF22AB">
            <w:pPr>
              <w:rPr>
                <w:b w:val="0"/>
                <w:bCs/>
              </w:rPr>
            </w:pPr>
            <w:r w:rsidRPr="00DF20F6">
              <w:rPr>
                <w:b w:val="0"/>
                <w:bCs/>
              </w:rPr>
              <w:t>Are extra monitoring measures in place for potentially suspicious or unusual activity, or extra monitoring for people who achieve increased levels of business (hence increased levels of renumeration)</w:t>
            </w:r>
          </w:p>
        </w:tc>
        <w:tc>
          <w:tcPr>
            <w:tcW w:w="8363" w:type="dxa"/>
          </w:tcPr>
          <w:p w14:paraId="11AEDC00" w14:textId="77777777" w:rsidR="00655576" w:rsidRPr="00AE3051" w:rsidRDefault="00655576" w:rsidP="00FF22AB">
            <w:pPr>
              <w:cnfStyle w:val="000000010000" w:firstRow="0" w:lastRow="0" w:firstColumn="0" w:lastColumn="0" w:oddVBand="0" w:evenVBand="0" w:oddHBand="0" w:evenHBand="1" w:firstRowFirstColumn="0" w:firstRowLastColumn="0" w:lastRowFirstColumn="0" w:lastRowLastColumn="0"/>
              <w:rPr>
                <w:color w:val="FF0000"/>
              </w:rPr>
            </w:pPr>
          </w:p>
        </w:tc>
      </w:tr>
      <w:tr w:rsidR="00655576" w:rsidRPr="00D73874" w14:paraId="33AD5918"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E41914B" w14:textId="77777777" w:rsidR="00655576" w:rsidRPr="00DF20F6" w:rsidRDefault="00655576" w:rsidP="00FF22AB">
            <w:pPr>
              <w:rPr>
                <w:b w:val="0"/>
                <w:bCs/>
              </w:rPr>
            </w:pPr>
            <w:r w:rsidRPr="00DF20F6">
              <w:rPr>
                <w:b w:val="0"/>
                <w:bCs/>
              </w:rPr>
              <w:t>Do you proactively look to identify where customers could be misinformed or wrongly advised in a face-to-face conversation in a way that might not show up in a file review?  For example, does the firm call a sample of customer to independently verify their understanding of the products/service they have taken up, why it is suitable for them and the risk/costs/charges</w:t>
            </w:r>
          </w:p>
        </w:tc>
        <w:tc>
          <w:tcPr>
            <w:tcW w:w="8363" w:type="dxa"/>
          </w:tcPr>
          <w:p w14:paraId="646FE4E7"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r w:rsidR="00655576" w:rsidRPr="00D73874" w14:paraId="0FB50A7C" w14:textId="77777777" w:rsidTr="00FF22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C3FCC22" w14:textId="77777777" w:rsidR="00655576" w:rsidRPr="00DF20F6" w:rsidRDefault="00655576" w:rsidP="00FF22AB">
            <w:pPr>
              <w:rPr>
                <w:b w:val="0"/>
                <w:bCs/>
              </w:rPr>
            </w:pPr>
            <w:r w:rsidRPr="00DF20F6">
              <w:rPr>
                <w:b w:val="0"/>
                <w:bCs/>
              </w:rPr>
              <w:t>How does the firm satisfy itself that anyone speaking to clients is not putting their own interests before those of the client</w:t>
            </w:r>
          </w:p>
        </w:tc>
        <w:tc>
          <w:tcPr>
            <w:tcW w:w="8363" w:type="dxa"/>
          </w:tcPr>
          <w:p w14:paraId="5686E2BB" w14:textId="77777777" w:rsidR="00655576" w:rsidRPr="00AE3051" w:rsidRDefault="00655576" w:rsidP="00FF22AB">
            <w:pPr>
              <w:cnfStyle w:val="000000010000" w:firstRow="0" w:lastRow="0" w:firstColumn="0" w:lastColumn="0" w:oddVBand="0" w:evenVBand="0" w:oddHBand="0" w:evenHBand="1" w:firstRowFirstColumn="0" w:firstRowLastColumn="0" w:lastRowFirstColumn="0" w:lastRowLastColumn="0"/>
              <w:rPr>
                <w:color w:val="FF0000"/>
              </w:rPr>
            </w:pPr>
          </w:p>
        </w:tc>
      </w:tr>
      <w:tr w:rsidR="00655576" w:rsidRPr="00D73874" w14:paraId="0D84A9B0" w14:textId="77777777" w:rsidTr="00FF2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F5FF5C3" w14:textId="77777777" w:rsidR="00655576" w:rsidRDefault="00655576" w:rsidP="00FF22AB">
            <w:pPr>
              <w:rPr>
                <w:b w:val="0"/>
                <w:bCs/>
                <w:color w:val="FF0000"/>
              </w:rPr>
            </w:pPr>
            <w:r w:rsidRPr="00DF20F6">
              <w:rPr>
                <w:b w:val="0"/>
                <w:bCs/>
              </w:rPr>
              <w:t>Can the firm demonstrate effective controls in any incentive-related areas</w:t>
            </w:r>
          </w:p>
        </w:tc>
        <w:tc>
          <w:tcPr>
            <w:tcW w:w="8363" w:type="dxa"/>
          </w:tcPr>
          <w:p w14:paraId="0F6414F5" w14:textId="77777777" w:rsidR="00655576" w:rsidRPr="00AE3051" w:rsidRDefault="00655576" w:rsidP="00FF22AB">
            <w:pPr>
              <w:cnfStyle w:val="000000100000" w:firstRow="0" w:lastRow="0" w:firstColumn="0" w:lastColumn="0" w:oddVBand="0" w:evenVBand="0" w:oddHBand="1" w:evenHBand="0" w:firstRowFirstColumn="0" w:firstRowLastColumn="0" w:lastRowFirstColumn="0" w:lastRowLastColumn="0"/>
              <w:rPr>
                <w:color w:val="FF0000"/>
              </w:rPr>
            </w:pPr>
          </w:p>
        </w:tc>
      </w:tr>
    </w:tbl>
    <w:p w14:paraId="5278877A" w14:textId="77777777" w:rsidR="00D40E93" w:rsidRPr="00975836" w:rsidRDefault="00D40E93" w:rsidP="00BD1728">
      <w:pPr>
        <w:pStyle w:val="Heading1"/>
        <w:rPr>
          <w:rFonts w:cs="Arial"/>
        </w:rPr>
      </w:pPr>
    </w:p>
    <w:sectPr w:rsidR="00D40E93" w:rsidRPr="00975836" w:rsidSect="0017123A">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D440" w14:textId="77777777" w:rsidR="00CC7FA7" w:rsidRDefault="00CC7FA7" w:rsidP="00C1131A">
      <w:r>
        <w:separator/>
      </w:r>
    </w:p>
  </w:endnote>
  <w:endnote w:type="continuationSeparator" w:id="0">
    <w:p w14:paraId="47FA2B9F" w14:textId="77777777" w:rsidR="00CC7FA7" w:rsidRDefault="00CC7FA7"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Rockwell Light"/>
    <w:charset w:val="00"/>
    <w:family w:val="roman"/>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630C6089" w14:textId="77777777" w:rsidTr="001628BF">
      <w:trPr>
        <w:trHeight w:val="284"/>
      </w:trPr>
      <w:tc>
        <w:tcPr>
          <w:tcW w:w="2171" w:type="pct"/>
          <w:tcMar>
            <w:left w:w="0" w:type="dxa"/>
            <w:right w:w="0" w:type="dxa"/>
          </w:tcMar>
          <w:vAlign w:val="bottom"/>
        </w:tcPr>
        <w:p w14:paraId="3BABEE35"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DDE4510" w14:textId="0BD62506"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D37852">
            <w:rPr>
              <w:color w:val="000000" w:themeColor="text1"/>
              <w:sz w:val="18"/>
              <w:szCs w:val="18"/>
            </w:rPr>
            <w:t>: June 2026</w:t>
          </w:r>
        </w:p>
      </w:tc>
    </w:tr>
  </w:tbl>
  <w:p w14:paraId="6CE04CEC" w14:textId="77777777" w:rsidR="00C1131A" w:rsidRDefault="00C1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19"/>
      <w:gridCol w:w="5107"/>
    </w:tblGrid>
    <w:tr w:rsidR="0017123A" w:rsidRPr="009A3BCA" w14:paraId="399BB227" w14:textId="77777777" w:rsidTr="0017123A">
      <w:trPr>
        <w:trHeight w:val="284"/>
      </w:trPr>
      <w:tc>
        <w:tcPr>
          <w:tcW w:w="2171" w:type="pct"/>
          <w:tcMar>
            <w:left w:w="0" w:type="dxa"/>
            <w:right w:w="0" w:type="dxa"/>
          </w:tcMar>
          <w:vAlign w:val="bottom"/>
        </w:tcPr>
        <w:p w14:paraId="10FA74B8" w14:textId="77777777" w:rsidR="0017123A" w:rsidRPr="00416BBD" w:rsidRDefault="0017123A"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735C5E54" w14:textId="3245BB1C" w:rsidR="0017123A" w:rsidRPr="00416BBD" w:rsidRDefault="0017123A" w:rsidP="001628BF">
          <w:pPr>
            <w:pStyle w:val="Header"/>
            <w:spacing w:before="200" w:after="0" w:line="240" w:lineRule="auto"/>
            <w:jc w:val="right"/>
            <w:rPr>
              <w:color w:val="000000" w:themeColor="text1"/>
              <w:sz w:val="18"/>
              <w:szCs w:val="18"/>
            </w:rPr>
          </w:pPr>
          <w:r w:rsidRPr="00416BBD">
            <w:rPr>
              <w:color w:val="000000" w:themeColor="text1"/>
              <w:sz w:val="18"/>
              <w:szCs w:val="18"/>
            </w:rPr>
            <w:t>Version</w:t>
          </w:r>
          <w:r w:rsidR="00D37852">
            <w:rPr>
              <w:color w:val="000000" w:themeColor="text1"/>
              <w:sz w:val="18"/>
              <w:szCs w:val="18"/>
            </w:rPr>
            <w:t>: June 2026</w:t>
          </w:r>
        </w:p>
      </w:tc>
    </w:tr>
  </w:tbl>
  <w:p w14:paraId="250E62E7" w14:textId="77777777" w:rsidR="0017123A" w:rsidRDefault="0017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1A4D" w14:textId="77777777" w:rsidR="00CC7FA7" w:rsidRDefault="00CC7FA7" w:rsidP="00C1131A">
      <w:r>
        <w:separator/>
      </w:r>
    </w:p>
  </w:footnote>
  <w:footnote w:type="continuationSeparator" w:id="0">
    <w:p w14:paraId="4940B468" w14:textId="77777777" w:rsidR="00CC7FA7" w:rsidRDefault="00CC7FA7"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E7E593D"/>
    <w:multiLevelType w:val="multilevel"/>
    <w:tmpl w:val="891C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F015C"/>
    <w:multiLevelType w:val="hybridMultilevel"/>
    <w:tmpl w:val="C56082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6369A"/>
    <w:multiLevelType w:val="multilevel"/>
    <w:tmpl w:val="EBFA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C0005E"/>
    <w:multiLevelType w:val="multilevel"/>
    <w:tmpl w:val="969C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2"/>
  </w:num>
  <w:num w:numId="4" w16cid:durableId="782842746">
    <w:abstractNumId w:val="17"/>
  </w:num>
  <w:num w:numId="5" w16cid:durableId="237175768">
    <w:abstractNumId w:val="2"/>
  </w:num>
  <w:num w:numId="6" w16cid:durableId="1806973292">
    <w:abstractNumId w:val="7"/>
  </w:num>
  <w:num w:numId="7" w16cid:durableId="2080593760">
    <w:abstractNumId w:val="4"/>
  </w:num>
  <w:num w:numId="8" w16cid:durableId="1620794711">
    <w:abstractNumId w:val="15"/>
  </w:num>
  <w:num w:numId="9" w16cid:durableId="53820383">
    <w:abstractNumId w:val="3"/>
  </w:num>
  <w:num w:numId="10" w16cid:durableId="144705351">
    <w:abstractNumId w:val="6"/>
  </w:num>
  <w:num w:numId="11" w16cid:durableId="754282052">
    <w:abstractNumId w:val="11"/>
  </w:num>
  <w:num w:numId="12" w16cid:durableId="1261522663">
    <w:abstractNumId w:val="5"/>
  </w:num>
  <w:num w:numId="13" w16cid:durableId="23289869">
    <w:abstractNumId w:val="8"/>
  </w:num>
  <w:num w:numId="14" w16cid:durableId="1630890874">
    <w:abstractNumId w:val="12"/>
  </w:num>
  <w:num w:numId="15" w16cid:durableId="463237112">
    <w:abstractNumId w:val="14"/>
  </w:num>
  <w:num w:numId="16" w16cid:durableId="658971617">
    <w:abstractNumId w:val="15"/>
    <w:lvlOverride w:ilvl="0">
      <w:startOverride w:val="1"/>
    </w:lvlOverride>
  </w:num>
  <w:num w:numId="17" w16cid:durableId="505554867">
    <w:abstractNumId w:val="13"/>
  </w:num>
  <w:num w:numId="18" w16cid:durableId="1650593697">
    <w:abstractNumId w:val="16"/>
  </w:num>
  <w:num w:numId="19" w16cid:durableId="2037995715">
    <w:abstractNumId w:val="10"/>
  </w:num>
  <w:num w:numId="20" w16cid:durableId="1463037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F"/>
    <w:rsid w:val="00097EAF"/>
    <w:rsid w:val="000A21DD"/>
    <w:rsid w:val="000B4211"/>
    <w:rsid w:val="001628BF"/>
    <w:rsid w:val="0017123A"/>
    <w:rsid w:val="00227BFB"/>
    <w:rsid w:val="00241070"/>
    <w:rsid w:val="00262976"/>
    <w:rsid w:val="002A3FA7"/>
    <w:rsid w:val="002F4B36"/>
    <w:rsid w:val="00307250"/>
    <w:rsid w:val="003565E6"/>
    <w:rsid w:val="00360342"/>
    <w:rsid w:val="00372E88"/>
    <w:rsid w:val="00383E90"/>
    <w:rsid w:val="00391FB6"/>
    <w:rsid w:val="003B100B"/>
    <w:rsid w:val="00412D3E"/>
    <w:rsid w:val="004437C4"/>
    <w:rsid w:val="00446F8F"/>
    <w:rsid w:val="00481E5C"/>
    <w:rsid w:val="004A19EE"/>
    <w:rsid w:val="00562F54"/>
    <w:rsid w:val="005635BF"/>
    <w:rsid w:val="00585728"/>
    <w:rsid w:val="005A0E9E"/>
    <w:rsid w:val="005A2F1D"/>
    <w:rsid w:val="005A3DB7"/>
    <w:rsid w:val="005E08E5"/>
    <w:rsid w:val="005F090E"/>
    <w:rsid w:val="00620F5E"/>
    <w:rsid w:val="00636AF8"/>
    <w:rsid w:val="00651C55"/>
    <w:rsid w:val="00655576"/>
    <w:rsid w:val="00672722"/>
    <w:rsid w:val="00693F5C"/>
    <w:rsid w:val="006B4D65"/>
    <w:rsid w:val="006C0AE8"/>
    <w:rsid w:val="006E4B2C"/>
    <w:rsid w:val="00705D72"/>
    <w:rsid w:val="00715292"/>
    <w:rsid w:val="007555C2"/>
    <w:rsid w:val="007B2E16"/>
    <w:rsid w:val="007E5347"/>
    <w:rsid w:val="00825FE2"/>
    <w:rsid w:val="00883772"/>
    <w:rsid w:val="00895544"/>
    <w:rsid w:val="008C0269"/>
    <w:rsid w:val="008D7892"/>
    <w:rsid w:val="008F6E62"/>
    <w:rsid w:val="00975836"/>
    <w:rsid w:val="00981BD4"/>
    <w:rsid w:val="009E4FA8"/>
    <w:rsid w:val="009F22CF"/>
    <w:rsid w:val="00B31261"/>
    <w:rsid w:val="00B512CB"/>
    <w:rsid w:val="00B528CA"/>
    <w:rsid w:val="00B577DA"/>
    <w:rsid w:val="00B710F2"/>
    <w:rsid w:val="00B73FFE"/>
    <w:rsid w:val="00B74E5D"/>
    <w:rsid w:val="00BD1728"/>
    <w:rsid w:val="00BE2221"/>
    <w:rsid w:val="00BF4596"/>
    <w:rsid w:val="00BF53FF"/>
    <w:rsid w:val="00BF7019"/>
    <w:rsid w:val="00C1131A"/>
    <w:rsid w:val="00C11F53"/>
    <w:rsid w:val="00C64F67"/>
    <w:rsid w:val="00CC7FA7"/>
    <w:rsid w:val="00CE45FE"/>
    <w:rsid w:val="00CF59F7"/>
    <w:rsid w:val="00D25003"/>
    <w:rsid w:val="00D32303"/>
    <w:rsid w:val="00D37852"/>
    <w:rsid w:val="00D40E93"/>
    <w:rsid w:val="00D5481C"/>
    <w:rsid w:val="00D63E50"/>
    <w:rsid w:val="00D65DFD"/>
    <w:rsid w:val="00DA2A1A"/>
    <w:rsid w:val="00DC0019"/>
    <w:rsid w:val="00DD58D5"/>
    <w:rsid w:val="00DF014B"/>
    <w:rsid w:val="00E0087A"/>
    <w:rsid w:val="00E530AE"/>
    <w:rsid w:val="00E55797"/>
    <w:rsid w:val="00E56BD0"/>
    <w:rsid w:val="00E57323"/>
    <w:rsid w:val="00E97913"/>
    <w:rsid w:val="00EF5ABF"/>
    <w:rsid w:val="00F06FC7"/>
    <w:rsid w:val="00F6174E"/>
    <w:rsid w:val="00F76247"/>
    <w:rsid w:val="00F978D7"/>
    <w:rsid w:val="00F97E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59D"/>
  <w15:chartTrackingRefBased/>
  <w15:docId w15:val="{535F4C86-7156-4A51-B7C2-9AEC9453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36AF8"/>
    <w:pPr>
      <w:contextualSpacing/>
      <w:outlineLvl w:val="0"/>
    </w:pPr>
    <w:rPr>
      <w:rFonts w:cs="Calibri"/>
      <w:b/>
      <w:bCs/>
      <w:sz w:val="56"/>
      <w:szCs w:val="56"/>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AF8"/>
    <w:rPr>
      <w:rFonts w:ascii="Calibri" w:hAnsi="Calibri" w:cs="Calibri"/>
      <w:b/>
      <w:bCs/>
      <w:sz w:val="56"/>
      <w:szCs w:val="56"/>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3).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a7b0ae-d366-4174-8f86-7e626741fcd7">
      <Terms xmlns="http://schemas.microsoft.com/office/infopath/2007/PartnerControls"/>
    </lcf76f155ced4ddcb4097134ff3c332f>
    <_ip_UnifiedCompliancePolicyProperties xmlns="http://schemas.microsoft.com/sharepoint/v3" xsi:nil="true"/>
    <TaxCatchAll xmlns="a1597107-7dfc-4cce-a4d1-d062d8ec457d" xsi:nil="true"/>
  </documentManagement>
</p:properties>
</file>

<file path=customXml/itemProps1.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customXml/itemProps2.xml><?xml version="1.0" encoding="utf-8"?>
<ds:datastoreItem xmlns:ds="http://schemas.openxmlformats.org/officeDocument/2006/customXml" ds:itemID="{80C144E4-3630-4736-90CC-CDF05FE82F39}">
  <ds:schemaRefs>
    <ds:schemaRef ds:uri="http://schemas.microsoft.com/sharepoint/v3/contenttype/forms"/>
  </ds:schemaRefs>
</ds:datastoreItem>
</file>

<file path=customXml/itemProps3.xml><?xml version="1.0" encoding="utf-8"?>
<ds:datastoreItem xmlns:ds="http://schemas.openxmlformats.org/officeDocument/2006/customXml" ds:itemID="{4E857339-25D6-4C79-94BC-BA5621ED71CC}"/>
</file>

<file path=customXml/itemProps4.xml><?xml version="1.0" encoding="utf-8"?>
<ds:datastoreItem xmlns:ds="http://schemas.openxmlformats.org/officeDocument/2006/customXml" ds:itemID="{9B1A1688-ADAA-4B1C-895B-F7F985290EA5}"/>
</file>

<file path=docProps/app.xml><?xml version="1.0" encoding="utf-8"?>
<Properties xmlns="http://schemas.openxmlformats.org/officeDocument/2006/extended-properties" xmlns:vt="http://schemas.openxmlformats.org/officeDocument/2006/docPropsVTypes">
  <Template>Thistle Toolkit Template TI v2 (003)</Template>
  <TotalTime>0</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Lisa Cross</cp:lastModifiedBy>
  <cp:revision>19</cp:revision>
  <dcterms:created xsi:type="dcterms:W3CDTF">2026-06-23T08:31:00Z</dcterms:created>
  <dcterms:modified xsi:type="dcterms:W3CDTF">2026-06-23T08:47:00Z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0x010100F0264D0EE9A33841ABAADDDC496255E3</vt:lpwstr>
  </property>
</Properties>
</file>