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149D" w14:textId="77777777" w:rsidR="00D5481C" w:rsidRPr="00975836" w:rsidRDefault="008C0269" w:rsidP="00825FE2">
      <w:pPr>
        <w:pStyle w:val="TemplateHeaderReplace"/>
        <w:ind w:left="0" w:right="567"/>
        <w:rPr>
          <w:rFonts w:cs="Arial"/>
        </w:rPr>
      </w:pPr>
      <w:r w:rsidRPr="00975836">
        <w:rPr>
          <w:rFonts w:cs="Arial"/>
          <w:b w:val="0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4F24595" wp14:editId="0D646569">
            <wp:simplePos x="0" y="0"/>
            <wp:positionH relativeFrom="page">
              <wp:posOffset>0</wp:posOffset>
            </wp:positionH>
            <wp:positionV relativeFrom="page">
              <wp:posOffset>164</wp:posOffset>
            </wp:positionV>
            <wp:extent cx="7554450" cy="1795452"/>
            <wp:effectExtent l="0" t="0" r="254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50" cy="179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E8C73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2DAEE135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29028865" w14:textId="77777777" w:rsidR="003B100B" w:rsidRPr="00975836" w:rsidRDefault="003B100B" w:rsidP="00825FE2">
      <w:pPr>
        <w:pStyle w:val="TemplateHeaderReplace"/>
        <w:ind w:left="0" w:right="567"/>
        <w:rPr>
          <w:rFonts w:cs="Arial"/>
        </w:rPr>
      </w:pPr>
    </w:p>
    <w:p w14:paraId="47736C3E" w14:textId="6BB8D504" w:rsidR="00E97913" w:rsidRPr="004A19EE" w:rsidRDefault="00B90675" w:rsidP="00E97913">
      <w:pPr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 xml:space="preserve">Data </w:t>
      </w:r>
      <w:r w:rsidR="00A265E6">
        <w:rPr>
          <w:rFonts w:cs="Arial"/>
          <w:b/>
          <w:bCs/>
          <w:sz w:val="56"/>
          <w:szCs w:val="56"/>
        </w:rPr>
        <w:t>Retention Schedule</w:t>
      </w:r>
    </w:p>
    <w:p w14:paraId="224CC748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</w:tblGrid>
      <w:tr w:rsidR="003B100B" w:rsidRPr="00975836" w14:paraId="09AA6FC5" w14:textId="77777777" w:rsidTr="00975836">
        <w:tc>
          <w:tcPr>
            <w:tcW w:w="8813" w:type="dxa"/>
            <w:tcBorders>
              <w:top w:val="single" w:sz="4" w:space="0" w:color="46DCDC"/>
            </w:tcBorders>
          </w:tcPr>
          <w:p w14:paraId="7685E4E0" w14:textId="77777777" w:rsidR="003B100B" w:rsidRPr="00975836" w:rsidRDefault="003B100B" w:rsidP="00204381">
            <w:pPr>
              <w:ind w:left="-567" w:right="567"/>
              <w:rPr>
                <w:rFonts w:cs="Arial"/>
                <w:b/>
                <w:sz w:val="22"/>
              </w:rPr>
            </w:pPr>
          </w:p>
        </w:tc>
      </w:tr>
      <w:tr w:rsidR="003B100B" w:rsidRPr="00975836" w14:paraId="5F98D572" w14:textId="77777777" w:rsidTr="00204381">
        <w:tc>
          <w:tcPr>
            <w:tcW w:w="8813" w:type="dxa"/>
          </w:tcPr>
          <w:p w14:paraId="6A8E9EEC" w14:textId="2E67B538" w:rsidR="003B100B" w:rsidRPr="00975836" w:rsidRDefault="003B100B" w:rsidP="00204381">
            <w:pPr>
              <w:ind w:right="567"/>
              <w:rPr>
                <w:rFonts w:cs="Arial"/>
                <w:b/>
                <w:sz w:val="28"/>
                <w:szCs w:val="28"/>
              </w:rPr>
            </w:pPr>
            <w:r w:rsidRPr="00975836">
              <w:rPr>
                <w:rFonts w:cs="Arial"/>
                <w:b/>
                <w:sz w:val="28"/>
                <w:szCs w:val="28"/>
              </w:rPr>
              <w:t>Template Guidance Notes</w:t>
            </w:r>
            <w:r w:rsidR="000A21DD" w:rsidRPr="00975836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1EC43A91" w14:textId="3F2186B3" w:rsidR="007E7545" w:rsidRPr="007E7545" w:rsidRDefault="007E7545" w:rsidP="007E7545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Use this template as a base to document your </w:t>
            </w:r>
            <w:r w:rsidR="00B9067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Data </w:t>
            </w:r>
            <w:r w:rsidR="005405FE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retention periods</w:t>
            </w: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. It should be modified to suit your requirements</w:t>
            </w:r>
            <w:r w:rsidR="005405FE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 and that the years quoted are accurate and can be adhered to</w:t>
            </w: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. It is not designed to be definitive.</w:t>
            </w:r>
          </w:p>
          <w:p w14:paraId="69079DBF" w14:textId="53E4FFCA" w:rsidR="007E7545" w:rsidRPr="007E7545" w:rsidRDefault="007E7545" w:rsidP="007E7545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It should be completed and </w:t>
            </w:r>
            <w:r w:rsidR="00F17861"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signed off</w:t>
            </w: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 xml:space="preserve"> by principals of the firm.</w:t>
            </w:r>
          </w:p>
          <w:p w14:paraId="643B96C1" w14:textId="77777777" w:rsidR="007E7545" w:rsidRPr="007E7545" w:rsidRDefault="007E7545" w:rsidP="007E754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E75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Red text indicates personalisation is required.</w:t>
            </w:r>
          </w:p>
          <w:p w14:paraId="0E43F19D" w14:textId="77777777" w:rsidR="003B100B" w:rsidRPr="00975836" w:rsidRDefault="003B100B" w:rsidP="008F6E62">
            <w:pPr>
              <w:ind w:right="567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5416636" w14:textId="77777777" w:rsidR="00825FE2" w:rsidRPr="00975836" w:rsidRDefault="00825FE2" w:rsidP="00825FE2">
      <w:pPr>
        <w:pStyle w:val="TemplateHeaderReplace"/>
        <w:ind w:left="0" w:right="567"/>
        <w:rPr>
          <w:rFonts w:cs="Arial"/>
        </w:rPr>
      </w:pPr>
    </w:p>
    <w:p w14:paraId="38FAD965" w14:textId="77777777" w:rsidR="003B100B" w:rsidRPr="00975836" w:rsidRDefault="003B100B">
      <w:pPr>
        <w:spacing w:after="160" w:line="259" w:lineRule="auto"/>
        <w:rPr>
          <w:rFonts w:cs="Arial"/>
          <w:b/>
          <w:color w:val="DC2C5C"/>
          <w:sz w:val="44"/>
          <w:szCs w:val="44"/>
        </w:rPr>
      </w:pPr>
      <w:r w:rsidRPr="00975836">
        <w:rPr>
          <w:rFonts w:cs="Arial"/>
        </w:rPr>
        <w:br w:type="page"/>
      </w:r>
    </w:p>
    <w:p w14:paraId="0A72BEE0" w14:textId="77777777" w:rsidR="003B100B" w:rsidRPr="00975836" w:rsidRDefault="003B100B" w:rsidP="00EB39C3">
      <w:pPr>
        <w:pStyle w:val="Heading1"/>
      </w:pPr>
    </w:p>
    <w:p w14:paraId="6F116047" w14:textId="77777777" w:rsidR="003B100B" w:rsidRPr="00975836" w:rsidRDefault="003B100B" w:rsidP="00EB39C3">
      <w:pPr>
        <w:pStyle w:val="Heading1"/>
      </w:pPr>
    </w:p>
    <w:p w14:paraId="08A779E2" w14:textId="77777777" w:rsidR="003B100B" w:rsidRPr="00975836" w:rsidRDefault="003B100B" w:rsidP="00EB39C3">
      <w:pPr>
        <w:pStyle w:val="Heading1"/>
      </w:pPr>
    </w:p>
    <w:p w14:paraId="1BFB90C5" w14:textId="77777777" w:rsidR="003B100B" w:rsidRPr="00975836" w:rsidRDefault="003B100B" w:rsidP="00EB39C3">
      <w:pPr>
        <w:pStyle w:val="Heading1"/>
      </w:pPr>
    </w:p>
    <w:p w14:paraId="1CED9BDA" w14:textId="77777777" w:rsidR="00825FE2" w:rsidRPr="00975836" w:rsidRDefault="00E55797" w:rsidP="001628BF">
      <w:pPr>
        <w:rPr>
          <w:rFonts w:cs="Arial"/>
          <w:b/>
          <w:bCs/>
          <w:color w:val="46DCDC" w:themeColor="accent1"/>
          <w:sz w:val="44"/>
          <w:szCs w:val="44"/>
        </w:rPr>
      </w:pPr>
      <w:r w:rsidRPr="00975836">
        <w:rPr>
          <w:rFonts w:cs="Arial"/>
          <w:b/>
          <w:bCs/>
          <w:color w:val="46DCDC" w:themeColor="accent1"/>
          <w:sz w:val="44"/>
          <w:szCs w:val="44"/>
        </w:rPr>
        <w:t>Firm Name</w:t>
      </w:r>
    </w:p>
    <w:p w14:paraId="1E8EF005" w14:textId="5E0E4C16" w:rsidR="00EF1734" w:rsidRPr="004A19EE" w:rsidRDefault="00B90675" w:rsidP="00EF1734">
      <w:pPr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 xml:space="preserve">Data </w:t>
      </w:r>
      <w:r w:rsidR="00A265E6">
        <w:rPr>
          <w:rFonts w:cs="Arial"/>
          <w:b/>
          <w:bCs/>
          <w:sz w:val="56"/>
          <w:szCs w:val="56"/>
        </w:rPr>
        <w:t>Retention Schedule</w:t>
      </w:r>
    </w:p>
    <w:p w14:paraId="7FC11810" w14:textId="77777777" w:rsidR="00825FE2" w:rsidRPr="00975836" w:rsidRDefault="00825FE2" w:rsidP="004A19EE">
      <w:pPr>
        <w:rPr>
          <w:rFonts w:cs="Arial"/>
          <w:b/>
          <w:bCs/>
          <w:color w:val="46DCDC" w:themeColor="accent1"/>
          <w:lang w:bidi="en-US"/>
        </w:rPr>
      </w:pPr>
      <w:r w:rsidRPr="00975836">
        <w:rPr>
          <w:rFonts w:cs="Arial"/>
          <w:b/>
          <w:bCs/>
          <w:color w:val="46DCDC" w:themeColor="accent1"/>
          <w:lang w:bidi="en-US"/>
        </w:rPr>
        <w:t>Month / Year</w:t>
      </w:r>
    </w:p>
    <w:p w14:paraId="2DC523B6" w14:textId="77777777" w:rsidR="004437C4" w:rsidRPr="00975836" w:rsidRDefault="004437C4">
      <w:pPr>
        <w:rPr>
          <w:rFonts w:cs="Arial"/>
        </w:rPr>
      </w:pPr>
    </w:p>
    <w:p w14:paraId="7EF7C75E" w14:textId="77777777" w:rsidR="00825FE2" w:rsidRPr="00975836" w:rsidRDefault="00825FE2" w:rsidP="00CF59F7">
      <w:pPr>
        <w:pStyle w:val="TemplateHeader"/>
        <w:ind w:left="0" w:right="567"/>
        <w:rPr>
          <w:rFonts w:cs="Arial"/>
        </w:rPr>
      </w:pPr>
    </w:p>
    <w:p w14:paraId="02A86194" w14:textId="5BAE23CF" w:rsidR="006C76E1" w:rsidRDefault="006C76E1">
      <w:pPr>
        <w:spacing w:after="160" w:line="259" w:lineRule="auto"/>
        <w:rPr>
          <w:rFonts w:cs="Arial"/>
          <w:b/>
          <w:color w:val="000000" w:themeColor="text1"/>
          <w:sz w:val="44"/>
          <w:szCs w:val="44"/>
        </w:rPr>
      </w:pPr>
      <w:r>
        <w:rPr>
          <w:rFonts w:cs="Arial"/>
        </w:rPr>
        <w:br w:type="page"/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highlight w:val="yellow"/>
          <w:lang w:val="en-GB"/>
        </w:rPr>
        <w:id w:val="-2444981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4E43FB" w14:textId="4728865A" w:rsidR="005876EE" w:rsidRPr="00EB39C3" w:rsidRDefault="005876EE" w:rsidP="00EB39C3">
          <w:pPr>
            <w:pStyle w:val="TOCHeading"/>
            <w:rPr>
              <w:b/>
              <w:bCs/>
            </w:rPr>
          </w:pPr>
          <w:r w:rsidRPr="00EB39C3">
            <w:rPr>
              <w:b/>
              <w:bCs/>
            </w:rPr>
            <w:t>Contents</w:t>
          </w:r>
        </w:p>
        <w:p w14:paraId="1CC2DCE1" w14:textId="413CEF00" w:rsidR="005405FE" w:rsidRDefault="005876E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r w:rsidRPr="00101795">
            <w:rPr>
              <w:highlight w:val="yellow"/>
            </w:rPr>
            <w:fldChar w:fldCharType="begin"/>
          </w:r>
          <w:r w:rsidRPr="00101795">
            <w:rPr>
              <w:highlight w:val="yellow"/>
            </w:rPr>
            <w:instrText xml:space="preserve"> TOC \o "1-3" \h \z \u </w:instrText>
          </w:r>
          <w:r w:rsidRPr="00101795">
            <w:rPr>
              <w:highlight w:val="yellow"/>
            </w:rPr>
            <w:fldChar w:fldCharType="separate"/>
          </w:r>
          <w:hyperlink w:anchor="_Toc221610826" w:history="1">
            <w:r w:rsidR="005405FE" w:rsidRPr="00261A86">
              <w:rPr>
                <w:rStyle w:val="Hyperlink"/>
                <w:noProof/>
                <w:lang w:bidi="en-US"/>
              </w:rPr>
              <w:t>Purpose</w:t>
            </w:r>
            <w:r w:rsidR="005405FE">
              <w:rPr>
                <w:noProof/>
                <w:webHidden/>
              </w:rPr>
              <w:tab/>
            </w:r>
            <w:r w:rsidR="005405FE">
              <w:rPr>
                <w:noProof/>
                <w:webHidden/>
              </w:rPr>
              <w:fldChar w:fldCharType="begin"/>
            </w:r>
            <w:r w:rsidR="005405FE">
              <w:rPr>
                <w:noProof/>
                <w:webHidden/>
              </w:rPr>
              <w:instrText xml:space="preserve"> PAGEREF _Toc221610826 \h </w:instrText>
            </w:r>
            <w:r w:rsidR="005405FE">
              <w:rPr>
                <w:noProof/>
                <w:webHidden/>
              </w:rPr>
            </w:r>
            <w:r w:rsidR="005405FE"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4</w:t>
            </w:r>
            <w:r w:rsidR="005405FE">
              <w:rPr>
                <w:noProof/>
                <w:webHidden/>
              </w:rPr>
              <w:fldChar w:fldCharType="end"/>
            </w:r>
          </w:hyperlink>
        </w:p>
        <w:p w14:paraId="7AA0527E" w14:textId="5BC617E2" w:rsidR="005405FE" w:rsidRDefault="005405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21610827" w:history="1">
            <w:r w:rsidRPr="00261A86">
              <w:rPr>
                <w:rStyle w:val="Hyperlink"/>
                <w:noProof/>
                <w:lang w:bidi="en-US"/>
              </w:rPr>
              <w:t>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_Toc221610827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992CC" w14:textId="60FEB769" w:rsidR="005405FE" w:rsidRDefault="005405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21610828" w:history="1">
            <w:r w:rsidRPr="00261A86">
              <w:rPr>
                <w:rStyle w:val="Hyperlink"/>
                <w:noProof/>
                <w:lang w:bidi="en-US"/>
              </w:rPr>
              <w:t>Client and Business Relationship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_Toc221610828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19304" w14:textId="73944525" w:rsidR="005405FE" w:rsidRDefault="005405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21610829" w:history="1">
            <w:r w:rsidRPr="00261A86">
              <w:rPr>
                <w:rStyle w:val="Hyperlink"/>
                <w:noProof/>
                <w:lang w:bidi="en-US"/>
              </w:rPr>
              <w:t>Employee and HR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_Toc221610829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20AD9" w14:textId="5F1F22E2" w:rsidR="005405FE" w:rsidRDefault="005405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21610830" w:history="1">
            <w:r w:rsidRPr="00261A86">
              <w:rPr>
                <w:rStyle w:val="Hyperlink"/>
                <w:noProof/>
                <w:lang w:bidi="en-US"/>
              </w:rPr>
              <w:t>Marketing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_Toc221610830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6ED31" w14:textId="7426F8FD" w:rsidR="005405FE" w:rsidRDefault="005405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21610831" w:history="1">
            <w:r w:rsidRPr="00261A86">
              <w:rPr>
                <w:rStyle w:val="Hyperlink"/>
                <w:noProof/>
                <w:lang w:bidi="en-US"/>
              </w:rPr>
              <w:t>Secure Disposal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_Toc221610831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639C9" w14:textId="06FAB288" w:rsidR="005405FE" w:rsidRDefault="005405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21610832" w:history="1">
            <w:r w:rsidRPr="00261A86">
              <w:rPr>
                <w:rStyle w:val="Hyperlink"/>
                <w:noProof/>
                <w:lang w:bidi="en-US"/>
              </w:rPr>
              <w:t>Exceptions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_Toc221610832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38459" w14:textId="3BB2E990" w:rsidR="005405FE" w:rsidRDefault="005405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21610833" w:history="1">
            <w:r w:rsidRPr="00261A86">
              <w:rPr>
                <w:rStyle w:val="Hyperlink"/>
                <w:noProof/>
                <w:lang w:bidi="en-US"/>
              </w:rPr>
              <w:t>Review and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_Toc221610833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5D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2C8A1" w14:textId="27F92A3F" w:rsidR="005876EE" w:rsidRDefault="005876EE">
          <w:r w:rsidRPr="00101795">
            <w:rPr>
              <w:b/>
              <w:bCs/>
              <w:noProof/>
              <w:highlight w:val="yellow"/>
            </w:rPr>
            <w:fldChar w:fldCharType="end"/>
          </w:r>
        </w:p>
      </w:sdtContent>
    </w:sdt>
    <w:p w14:paraId="42A0918B" w14:textId="7FA4EB48" w:rsidR="006C76E1" w:rsidRDefault="006C76E1">
      <w:pPr>
        <w:spacing w:after="160" w:line="259" w:lineRule="auto"/>
        <w:rPr>
          <w:rFonts w:cs="Arial"/>
          <w:b/>
          <w:color w:val="000000" w:themeColor="text1"/>
          <w:sz w:val="44"/>
          <w:szCs w:val="44"/>
        </w:rPr>
      </w:pPr>
      <w:r>
        <w:rPr>
          <w:rFonts w:cs="Arial"/>
        </w:rPr>
        <w:br w:type="page"/>
      </w:r>
    </w:p>
    <w:p w14:paraId="74E32DA0" w14:textId="77777777" w:rsidR="00825FE2" w:rsidRPr="00975836" w:rsidRDefault="00825FE2" w:rsidP="00825FE2">
      <w:pPr>
        <w:pStyle w:val="TemplateHeader"/>
        <w:ind w:right="567" w:firstLine="567"/>
        <w:rPr>
          <w:rFonts w:cs="Arial"/>
        </w:rPr>
        <w:sectPr w:rsidR="00825FE2" w:rsidRPr="009758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6120B2" w14:textId="1CAE862F" w:rsidR="00EB39C3" w:rsidRPr="00EB39C3" w:rsidRDefault="00EB39C3" w:rsidP="00EB39C3">
      <w:pPr>
        <w:pStyle w:val="Heading1"/>
      </w:pPr>
      <w:bookmarkStart w:id="0" w:name="_Toc221610826"/>
      <w:r w:rsidRPr="00EB39C3">
        <w:lastRenderedPageBreak/>
        <w:t>Purpose</w:t>
      </w:r>
      <w:bookmarkEnd w:id="0"/>
    </w:p>
    <w:p w14:paraId="4506CDCF" w14:textId="2356E9E6" w:rsidR="00EB39C3" w:rsidRPr="00EB39C3" w:rsidRDefault="00EB39C3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B39C3">
        <w:rPr>
          <w:rFonts w:ascii="Cambria" w:eastAsia="MS Mincho" w:hAnsi="Cambria"/>
          <w:szCs w:val="22"/>
          <w:lang w:val="en-US"/>
        </w:rPr>
        <w:t xml:space="preserve">This Data Retention Schedule sets out the periods for which </w:t>
      </w:r>
      <w:r w:rsidRPr="00E95D06">
        <w:rPr>
          <w:rFonts w:ascii="Cambria" w:eastAsia="MS Mincho" w:hAnsi="Cambria"/>
          <w:color w:val="EE0000"/>
          <w:szCs w:val="22"/>
          <w:lang w:val="en-US"/>
        </w:rPr>
        <w:t xml:space="preserve">The </w:t>
      </w:r>
      <w:r w:rsidRPr="00EB39C3">
        <w:rPr>
          <w:rFonts w:ascii="Cambria" w:eastAsia="MS Mincho" w:hAnsi="Cambria"/>
          <w:color w:val="EE0000"/>
          <w:szCs w:val="22"/>
          <w:lang w:val="en-US"/>
        </w:rPr>
        <w:t xml:space="preserve">Firm </w:t>
      </w:r>
      <w:r w:rsidRPr="00EB39C3">
        <w:rPr>
          <w:rFonts w:ascii="Cambria" w:eastAsia="MS Mincho" w:hAnsi="Cambria"/>
          <w:szCs w:val="22"/>
          <w:lang w:val="en-US"/>
        </w:rPr>
        <w:t>retains different categories of personal data, in accordance with UK GDPR, the Data Protection Act 2018, the Data (Use and Access) Act 2025, FCA record-keeping requirements, and other applicable legal and regulatory obligations.</w:t>
      </w:r>
    </w:p>
    <w:p w14:paraId="3112641A" w14:textId="77777777" w:rsidR="00EB39C3" w:rsidRPr="00EB39C3" w:rsidRDefault="00EB39C3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B39C3">
        <w:rPr>
          <w:rFonts w:ascii="Cambria" w:eastAsia="MS Mincho" w:hAnsi="Cambria"/>
          <w:szCs w:val="22"/>
          <w:lang w:val="en-US"/>
        </w:rPr>
        <w:t xml:space="preserve">Personal data is retained only for as long as necessary, after which it is securely deleted, destroyed, or </w:t>
      </w:r>
      <w:proofErr w:type="spellStart"/>
      <w:r w:rsidRPr="00EB39C3">
        <w:rPr>
          <w:rFonts w:ascii="Cambria" w:eastAsia="MS Mincho" w:hAnsi="Cambria"/>
          <w:szCs w:val="22"/>
          <w:lang w:val="en-US"/>
        </w:rPr>
        <w:t>anonymised</w:t>
      </w:r>
      <w:proofErr w:type="spellEnd"/>
      <w:r w:rsidRPr="00EB39C3">
        <w:rPr>
          <w:rFonts w:ascii="Cambria" w:eastAsia="MS Mincho" w:hAnsi="Cambria"/>
          <w:szCs w:val="22"/>
          <w:lang w:val="en-US"/>
        </w:rPr>
        <w:t>.</w:t>
      </w:r>
    </w:p>
    <w:p w14:paraId="1ED0ED9F" w14:textId="4E2105DF" w:rsidR="00EB39C3" w:rsidRPr="00EB39C3" w:rsidRDefault="00EB39C3" w:rsidP="00EB39C3">
      <w:pPr>
        <w:pStyle w:val="Heading1"/>
      </w:pPr>
      <w:bookmarkStart w:id="1" w:name="_Toc221610827"/>
      <w:r w:rsidRPr="00EB39C3">
        <w:t>Governance</w:t>
      </w:r>
      <w:bookmarkEnd w:id="1"/>
    </w:p>
    <w:p w14:paraId="23F9A720" w14:textId="6EAB0C62" w:rsidR="00EB39C3" w:rsidRPr="00EB39C3" w:rsidRDefault="00EB39C3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B39C3">
        <w:rPr>
          <w:rFonts w:ascii="Cambria" w:eastAsia="MS Mincho" w:hAnsi="Cambria"/>
          <w:szCs w:val="22"/>
          <w:lang w:val="en-US"/>
        </w:rPr>
        <w:t>The schedule is owned by the Data Protection Officer</w:t>
      </w:r>
      <w:r w:rsidR="00DA2F3E">
        <w:rPr>
          <w:rFonts w:ascii="Cambria" w:eastAsia="MS Mincho" w:hAnsi="Cambria"/>
          <w:szCs w:val="22"/>
          <w:lang w:val="en-US"/>
        </w:rPr>
        <w:t xml:space="preserve"> and:</w:t>
      </w:r>
    </w:p>
    <w:p w14:paraId="3B8D3471" w14:textId="1A84733E" w:rsidR="00EB39C3" w:rsidRPr="00DA2F3E" w:rsidRDefault="00EB39C3" w:rsidP="00DA2F3E">
      <w:pPr>
        <w:pStyle w:val="ListParagraph"/>
        <w:numPr>
          <w:ilvl w:val="0"/>
          <w:numId w:val="34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DA2F3E">
        <w:rPr>
          <w:rFonts w:ascii="Cambria" w:eastAsia="MS Mincho" w:hAnsi="Cambria"/>
          <w:szCs w:val="22"/>
          <w:lang w:val="en-US"/>
        </w:rPr>
        <w:t>Retention periods are reviewed at least annually and following material regulatory or business changes.</w:t>
      </w:r>
    </w:p>
    <w:p w14:paraId="3321A745" w14:textId="1F9A6C0B" w:rsidR="00EB39C3" w:rsidRPr="00DA2F3E" w:rsidRDefault="00EB39C3" w:rsidP="00DA2F3E">
      <w:pPr>
        <w:pStyle w:val="ListParagraph"/>
        <w:numPr>
          <w:ilvl w:val="0"/>
          <w:numId w:val="34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DA2F3E">
        <w:rPr>
          <w:rFonts w:ascii="Cambria" w:eastAsia="MS Mincho" w:hAnsi="Cambria"/>
          <w:szCs w:val="22"/>
          <w:lang w:val="en-US"/>
        </w:rPr>
        <w:t>Where multiple retention requirements apply, the longest applicable period is adopted.</w:t>
      </w:r>
    </w:p>
    <w:p w14:paraId="2D1AE233" w14:textId="779CE815" w:rsidR="00EB39C3" w:rsidRPr="00DA2F3E" w:rsidRDefault="00EB39C3" w:rsidP="00DA2F3E">
      <w:pPr>
        <w:pStyle w:val="ListParagraph"/>
        <w:numPr>
          <w:ilvl w:val="0"/>
          <w:numId w:val="34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DA2F3E">
        <w:rPr>
          <w:rFonts w:ascii="Cambria" w:eastAsia="MS Mincho" w:hAnsi="Cambria"/>
          <w:szCs w:val="22"/>
          <w:lang w:val="en-US"/>
        </w:rPr>
        <w:t>Legal holds override standard retention periods where required.</w:t>
      </w:r>
    </w:p>
    <w:p w14:paraId="29D46EB2" w14:textId="5A831345" w:rsidR="00EB39C3" w:rsidRPr="00EB39C3" w:rsidRDefault="00EB39C3" w:rsidP="00EB39C3">
      <w:pPr>
        <w:pStyle w:val="Heading1"/>
      </w:pPr>
      <w:bookmarkStart w:id="2" w:name="_Toc221610828"/>
      <w:r w:rsidRPr="00EB39C3">
        <w:t>Client and Business Relationship Data</w:t>
      </w:r>
      <w:bookmarkEnd w:id="2"/>
    </w:p>
    <w:p w14:paraId="5D783CD8" w14:textId="5E923E58" w:rsidR="00EB39C3" w:rsidRPr="00DA2F3E" w:rsidRDefault="00EB39C3" w:rsidP="00DA2F3E">
      <w:pPr>
        <w:pStyle w:val="ListParagraph"/>
        <w:numPr>
          <w:ilvl w:val="0"/>
          <w:numId w:val="35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DA2F3E">
        <w:rPr>
          <w:rFonts w:ascii="Cambria" w:eastAsia="MS Mincho" w:hAnsi="Cambria"/>
          <w:szCs w:val="22"/>
          <w:lang w:val="en-US"/>
        </w:rPr>
        <w:t xml:space="preserve">Client files and advice records – </w:t>
      </w:r>
      <w:r w:rsidRPr="005405FE">
        <w:rPr>
          <w:rFonts w:ascii="Cambria" w:eastAsia="MS Mincho" w:hAnsi="Cambria"/>
          <w:color w:val="EE0000"/>
          <w:szCs w:val="22"/>
          <w:lang w:val="en-US"/>
        </w:rPr>
        <w:t xml:space="preserve">Minimum 6 years after end of relationship </w:t>
      </w:r>
    </w:p>
    <w:p w14:paraId="68C3183D" w14:textId="4EFE4F7A" w:rsidR="00EB39C3" w:rsidRPr="005405FE" w:rsidRDefault="00EB39C3" w:rsidP="00DA2F3E">
      <w:pPr>
        <w:pStyle w:val="ListParagraph"/>
        <w:numPr>
          <w:ilvl w:val="0"/>
          <w:numId w:val="35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DA2F3E">
        <w:rPr>
          <w:rFonts w:ascii="Cambria" w:eastAsia="MS Mincho" w:hAnsi="Cambria"/>
          <w:szCs w:val="22"/>
          <w:lang w:val="en-US"/>
        </w:rPr>
        <w:t xml:space="preserve">Complaints records – </w:t>
      </w:r>
      <w:r w:rsidRPr="005405FE">
        <w:rPr>
          <w:rFonts w:ascii="Cambria" w:eastAsia="MS Mincho" w:hAnsi="Cambria"/>
          <w:color w:val="EE0000"/>
          <w:szCs w:val="22"/>
          <w:lang w:val="en-US"/>
        </w:rPr>
        <w:t>Minimum 6 years after resolution</w:t>
      </w:r>
    </w:p>
    <w:p w14:paraId="44146D5F" w14:textId="70F4C2A1" w:rsidR="005405FE" w:rsidRPr="005405FE" w:rsidRDefault="005405FE" w:rsidP="005405FE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>
        <w:rPr>
          <w:rFonts w:ascii="Cambria" w:eastAsia="MS Mincho" w:hAnsi="Cambria"/>
          <w:szCs w:val="22"/>
          <w:lang w:val="en-US"/>
        </w:rPr>
        <w:t>The firm withholds the right to retain files relating to client advice for longer than 6 years in order to investigate future complaints.</w:t>
      </w:r>
    </w:p>
    <w:p w14:paraId="59A4E5FE" w14:textId="1772624F" w:rsidR="00EB39C3" w:rsidRPr="00EB39C3" w:rsidRDefault="00EB39C3" w:rsidP="00EB39C3">
      <w:pPr>
        <w:pStyle w:val="Heading1"/>
      </w:pPr>
      <w:bookmarkStart w:id="3" w:name="_Toc221610829"/>
      <w:r w:rsidRPr="00EB39C3">
        <w:t>Employee and HR Data</w:t>
      </w:r>
      <w:bookmarkEnd w:id="3"/>
    </w:p>
    <w:p w14:paraId="1AC66459" w14:textId="0EB0BB08" w:rsidR="00EB39C3" w:rsidRPr="00E95D06" w:rsidRDefault="00EB39C3" w:rsidP="00DA5655">
      <w:pPr>
        <w:pStyle w:val="ListParagraph"/>
        <w:numPr>
          <w:ilvl w:val="0"/>
          <w:numId w:val="36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95D06">
        <w:rPr>
          <w:rFonts w:ascii="Cambria" w:eastAsia="MS Mincho" w:hAnsi="Cambria"/>
          <w:szCs w:val="22"/>
          <w:lang w:val="en-US"/>
        </w:rPr>
        <w:t xml:space="preserve">Personnel files – </w:t>
      </w:r>
      <w:r w:rsidRPr="00E95D06">
        <w:rPr>
          <w:rFonts w:ascii="Cambria" w:eastAsia="MS Mincho" w:hAnsi="Cambria"/>
          <w:color w:val="EE0000"/>
          <w:szCs w:val="22"/>
          <w:lang w:val="en-US"/>
        </w:rPr>
        <w:t>6 years after employment ends</w:t>
      </w:r>
    </w:p>
    <w:p w14:paraId="48047B54" w14:textId="71F88C80" w:rsidR="00EB39C3" w:rsidRPr="00E95D06" w:rsidRDefault="00EB39C3" w:rsidP="00DA5655">
      <w:pPr>
        <w:pStyle w:val="ListParagraph"/>
        <w:numPr>
          <w:ilvl w:val="0"/>
          <w:numId w:val="36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95D06">
        <w:rPr>
          <w:rFonts w:ascii="Cambria" w:eastAsia="MS Mincho" w:hAnsi="Cambria"/>
          <w:szCs w:val="22"/>
          <w:lang w:val="en-US"/>
        </w:rPr>
        <w:t xml:space="preserve">Payroll and tax records – </w:t>
      </w:r>
      <w:r w:rsidR="005405FE" w:rsidRPr="00E95D06">
        <w:rPr>
          <w:rFonts w:ascii="Cambria" w:eastAsia="MS Mincho" w:hAnsi="Cambria"/>
          <w:color w:val="EE0000"/>
          <w:szCs w:val="22"/>
          <w:lang w:val="en-US"/>
        </w:rPr>
        <w:t>6 years after employment ends</w:t>
      </w:r>
    </w:p>
    <w:p w14:paraId="6EFC2CEA" w14:textId="77777777" w:rsidR="00EB39C3" w:rsidRPr="00E95D06" w:rsidRDefault="00EB39C3" w:rsidP="00DA5655">
      <w:pPr>
        <w:pStyle w:val="ListParagraph"/>
        <w:numPr>
          <w:ilvl w:val="0"/>
          <w:numId w:val="36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95D06">
        <w:rPr>
          <w:rFonts w:ascii="Cambria" w:eastAsia="MS Mincho" w:hAnsi="Cambria"/>
          <w:szCs w:val="22"/>
          <w:lang w:val="en-US"/>
        </w:rPr>
        <w:t xml:space="preserve">Right-to-work checks – </w:t>
      </w:r>
      <w:r w:rsidRPr="00E95D06">
        <w:rPr>
          <w:rFonts w:ascii="Cambria" w:eastAsia="MS Mincho" w:hAnsi="Cambria"/>
          <w:color w:val="EE0000"/>
          <w:szCs w:val="22"/>
          <w:lang w:val="en-US"/>
        </w:rPr>
        <w:t>2 years after employment ends.</w:t>
      </w:r>
    </w:p>
    <w:p w14:paraId="5B540052" w14:textId="2D454085" w:rsidR="00EB39C3" w:rsidRPr="00E95D06" w:rsidRDefault="00EB39C3" w:rsidP="00DA5655">
      <w:pPr>
        <w:pStyle w:val="ListParagraph"/>
        <w:numPr>
          <w:ilvl w:val="0"/>
          <w:numId w:val="36"/>
        </w:num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95D06">
        <w:rPr>
          <w:rFonts w:ascii="Cambria" w:eastAsia="MS Mincho" w:hAnsi="Cambria"/>
          <w:szCs w:val="22"/>
          <w:lang w:val="en-US"/>
        </w:rPr>
        <w:t xml:space="preserve">Training and CPD records – </w:t>
      </w:r>
      <w:r w:rsidR="005405FE" w:rsidRPr="00E95D06">
        <w:rPr>
          <w:rFonts w:ascii="Cambria" w:eastAsia="MS Mincho" w:hAnsi="Cambria"/>
          <w:color w:val="EE0000"/>
          <w:szCs w:val="22"/>
          <w:lang w:val="en-US"/>
        </w:rPr>
        <w:t>6 years after employment ends</w:t>
      </w:r>
    </w:p>
    <w:p w14:paraId="1DCFE8C4" w14:textId="7AE240AA" w:rsidR="00EB39C3" w:rsidRPr="00EB39C3" w:rsidRDefault="00EB39C3" w:rsidP="00EB39C3">
      <w:pPr>
        <w:pStyle w:val="Heading1"/>
      </w:pPr>
      <w:bookmarkStart w:id="4" w:name="_Toc221610830"/>
      <w:r w:rsidRPr="00EB39C3">
        <w:t>Marketing</w:t>
      </w:r>
      <w:r w:rsidR="009D3536">
        <w:t xml:space="preserve"> </w:t>
      </w:r>
      <w:r w:rsidRPr="00EB39C3">
        <w:t>Data</w:t>
      </w:r>
      <w:bookmarkEnd w:id="4"/>
    </w:p>
    <w:p w14:paraId="6A9184F2" w14:textId="7DC01271" w:rsidR="00EB39C3" w:rsidRPr="005405FE" w:rsidRDefault="00EB39C3" w:rsidP="005405FE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5405FE">
        <w:rPr>
          <w:rFonts w:ascii="Cambria" w:eastAsia="MS Mincho" w:hAnsi="Cambria"/>
          <w:szCs w:val="22"/>
          <w:lang w:val="en-US"/>
        </w:rPr>
        <w:t xml:space="preserve">Marketing contact data – </w:t>
      </w:r>
      <w:r w:rsidRPr="00E95D06">
        <w:rPr>
          <w:rFonts w:ascii="Cambria" w:eastAsia="MS Mincho" w:hAnsi="Cambria"/>
          <w:color w:val="EE0000"/>
          <w:szCs w:val="22"/>
          <w:lang w:val="en-US"/>
        </w:rPr>
        <w:t xml:space="preserve">Until consent </w:t>
      </w:r>
      <w:r w:rsidR="005405FE" w:rsidRPr="00E95D06">
        <w:rPr>
          <w:rFonts w:ascii="Cambria" w:eastAsia="MS Mincho" w:hAnsi="Cambria"/>
          <w:color w:val="EE0000"/>
          <w:szCs w:val="22"/>
          <w:lang w:val="en-US"/>
        </w:rPr>
        <w:t xml:space="preserve">is </w:t>
      </w:r>
      <w:r w:rsidRPr="00E95D06">
        <w:rPr>
          <w:rFonts w:ascii="Cambria" w:eastAsia="MS Mincho" w:hAnsi="Cambria"/>
          <w:color w:val="EE0000"/>
          <w:szCs w:val="22"/>
          <w:lang w:val="en-US"/>
        </w:rPr>
        <w:t xml:space="preserve">withdrawn or 2 years of inactivity </w:t>
      </w:r>
    </w:p>
    <w:p w14:paraId="2D789E05" w14:textId="4105E816" w:rsidR="00EB39C3" w:rsidRPr="00EB39C3" w:rsidRDefault="00EB39C3" w:rsidP="00EB39C3">
      <w:pPr>
        <w:pStyle w:val="Heading1"/>
      </w:pPr>
      <w:bookmarkStart w:id="5" w:name="_Toc221610831"/>
      <w:r w:rsidRPr="00EB39C3">
        <w:t>Secure Disposal</w:t>
      </w:r>
      <w:bookmarkEnd w:id="5"/>
    </w:p>
    <w:p w14:paraId="2BE4CD75" w14:textId="180FB3FD" w:rsidR="00EB39C3" w:rsidRDefault="00EB39C3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B39C3">
        <w:rPr>
          <w:rFonts w:ascii="Cambria" w:eastAsia="MS Mincho" w:hAnsi="Cambria"/>
          <w:szCs w:val="22"/>
          <w:lang w:val="en-US"/>
        </w:rPr>
        <w:t xml:space="preserve">At the end of the retention period, electronic data is securely deleted or </w:t>
      </w:r>
      <w:proofErr w:type="spellStart"/>
      <w:r w:rsidRPr="00EB39C3">
        <w:rPr>
          <w:rFonts w:ascii="Cambria" w:eastAsia="MS Mincho" w:hAnsi="Cambria"/>
          <w:szCs w:val="22"/>
          <w:lang w:val="en-US"/>
        </w:rPr>
        <w:t>anonymised</w:t>
      </w:r>
      <w:proofErr w:type="spellEnd"/>
      <w:r w:rsidRPr="00EB39C3">
        <w:rPr>
          <w:rFonts w:ascii="Cambria" w:eastAsia="MS Mincho" w:hAnsi="Cambria"/>
          <w:szCs w:val="22"/>
          <w:lang w:val="en-US"/>
        </w:rPr>
        <w:t>, paper records are confidentially destroyed, and third-party processors are instructed to delete or return data in line with contractual requirements.</w:t>
      </w:r>
    </w:p>
    <w:p w14:paraId="3238ED62" w14:textId="77777777" w:rsidR="00E95D06" w:rsidRDefault="00E95D06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</w:p>
    <w:p w14:paraId="502B9CBC" w14:textId="77777777" w:rsidR="00E95D06" w:rsidRPr="00EB39C3" w:rsidRDefault="00E95D06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</w:p>
    <w:p w14:paraId="631AA19C" w14:textId="78C623B4" w:rsidR="00EB39C3" w:rsidRPr="00EB39C3" w:rsidRDefault="00EB39C3" w:rsidP="00EB39C3">
      <w:pPr>
        <w:pStyle w:val="Heading1"/>
      </w:pPr>
      <w:bookmarkStart w:id="6" w:name="_Toc221610832"/>
      <w:r w:rsidRPr="00EB39C3">
        <w:lastRenderedPageBreak/>
        <w:t>Exceptions</w:t>
      </w:r>
      <w:bookmarkEnd w:id="6"/>
    </w:p>
    <w:p w14:paraId="4A352D18" w14:textId="1C6ED629" w:rsidR="00EB39C3" w:rsidRPr="00EB39C3" w:rsidRDefault="00EB39C3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B39C3">
        <w:rPr>
          <w:rFonts w:ascii="Cambria" w:eastAsia="MS Mincho" w:hAnsi="Cambria"/>
          <w:szCs w:val="22"/>
          <w:lang w:val="en-US"/>
        </w:rPr>
        <w:t>Retention periods may be extended where required by law or regulator, where a complaint or legal claim is ongoing, or where a litigation hold has been applied.</w:t>
      </w:r>
    </w:p>
    <w:p w14:paraId="55C94912" w14:textId="79C08EE0" w:rsidR="00EB39C3" w:rsidRPr="00EB39C3" w:rsidRDefault="00EB39C3" w:rsidP="00EB39C3">
      <w:pPr>
        <w:pStyle w:val="Heading1"/>
      </w:pPr>
      <w:bookmarkStart w:id="7" w:name="_Toc221610833"/>
      <w:r w:rsidRPr="00EB39C3">
        <w:t>Review and Approval</w:t>
      </w:r>
      <w:bookmarkEnd w:id="7"/>
    </w:p>
    <w:p w14:paraId="5278877A" w14:textId="75ABAAED" w:rsidR="00D40E93" w:rsidRPr="00EB39C3" w:rsidRDefault="00EB39C3" w:rsidP="00EB39C3">
      <w:pPr>
        <w:spacing w:after="200" w:line="276" w:lineRule="auto"/>
        <w:rPr>
          <w:rFonts w:ascii="Cambria" w:eastAsia="MS Mincho" w:hAnsi="Cambria"/>
          <w:szCs w:val="22"/>
          <w:lang w:val="en-US"/>
        </w:rPr>
      </w:pPr>
      <w:r w:rsidRPr="00EB39C3">
        <w:rPr>
          <w:rFonts w:ascii="Cambria" w:eastAsia="MS Mincho" w:hAnsi="Cambria"/>
          <w:szCs w:val="22"/>
          <w:lang w:val="en-US"/>
        </w:rPr>
        <w:t>This schedule is reviewed at least annually and approved by senior management.</w:t>
      </w:r>
    </w:p>
    <w:sectPr w:rsidR="00D40E93" w:rsidRPr="00EB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0A09" w14:textId="77777777" w:rsidR="00771115" w:rsidRDefault="00771115" w:rsidP="00C1131A">
      <w:r>
        <w:separator/>
      </w:r>
    </w:p>
  </w:endnote>
  <w:endnote w:type="continuationSeparator" w:id="0">
    <w:p w14:paraId="5BF8B4AD" w14:textId="77777777" w:rsidR="00771115" w:rsidRDefault="00771115" w:rsidP="00C1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761" w14:textId="77777777" w:rsidR="00F34CFB" w:rsidRDefault="00F34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8"/>
      <w:gridCol w:w="5053"/>
    </w:tblGrid>
    <w:tr w:rsidR="005635BF" w:rsidRPr="009A3BCA" w14:paraId="630C6089" w14:textId="77777777" w:rsidTr="001628BF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3BABEE35" w14:textId="77777777" w:rsidR="00241070" w:rsidRPr="00416BBD" w:rsidRDefault="00241070" w:rsidP="001628BF">
          <w:pPr>
            <w:pStyle w:val="Header"/>
            <w:spacing w:before="200" w:after="0" w:line="240" w:lineRule="auto"/>
            <w:rPr>
              <w:color w:val="000000" w:themeColor="text1"/>
              <w:sz w:val="18"/>
              <w:szCs w:val="18"/>
              <w:lang w:val="en-US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 w:rsidR="00F76247"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4DDE4510" w14:textId="11057341" w:rsidR="00241070" w:rsidRPr="00416BBD" w:rsidRDefault="00241070" w:rsidP="001628BF">
          <w:pPr>
            <w:pStyle w:val="Header"/>
            <w:spacing w:before="200" w:after="0" w:line="240" w:lineRule="auto"/>
            <w:jc w:val="right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>Version</w:t>
          </w:r>
          <w:r w:rsidR="00F34CFB">
            <w:rPr>
              <w:color w:val="000000" w:themeColor="text1"/>
              <w:sz w:val="18"/>
              <w:szCs w:val="18"/>
            </w:rPr>
            <w:t xml:space="preserve">: </w:t>
          </w:r>
          <w:r w:rsidR="00780A52">
            <w:rPr>
              <w:color w:val="000000" w:themeColor="text1"/>
              <w:sz w:val="18"/>
              <w:szCs w:val="18"/>
            </w:rPr>
            <w:t>September</w:t>
          </w:r>
          <w:r w:rsidR="005876EE">
            <w:rPr>
              <w:color w:val="000000" w:themeColor="text1"/>
              <w:sz w:val="18"/>
              <w:szCs w:val="18"/>
            </w:rPr>
            <w:t xml:space="preserve"> 2025</w:t>
          </w:r>
        </w:p>
      </w:tc>
    </w:tr>
  </w:tbl>
  <w:p w14:paraId="6CE04CEC" w14:textId="77777777" w:rsidR="00C1131A" w:rsidRDefault="00C11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56E8" w14:textId="77777777" w:rsidR="00F34CFB" w:rsidRDefault="00F3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139F" w14:textId="77777777" w:rsidR="00771115" w:rsidRDefault="00771115" w:rsidP="00C1131A">
      <w:r>
        <w:separator/>
      </w:r>
    </w:p>
  </w:footnote>
  <w:footnote w:type="continuationSeparator" w:id="0">
    <w:p w14:paraId="2798ADB3" w14:textId="77777777" w:rsidR="00771115" w:rsidRDefault="00771115" w:rsidP="00C1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FFD1" w14:textId="77777777" w:rsidR="00F34CFB" w:rsidRDefault="00F34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6E73" w14:textId="77777777" w:rsidR="00F34CFB" w:rsidRDefault="00F34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572A" w14:textId="77777777" w:rsidR="00F34CFB" w:rsidRDefault="00F34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78B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9BC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F2F91"/>
    <w:multiLevelType w:val="multilevel"/>
    <w:tmpl w:val="FB68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50628"/>
    <w:multiLevelType w:val="multilevel"/>
    <w:tmpl w:val="D81C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50C0F"/>
    <w:multiLevelType w:val="multilevel"/>
    <w:tmpl w:val="BF7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06174"/>
    <w:multiLevelType w:val="hybridMultilevel"/>
    <w:tmpl w:val="1CDA5208"/>
    <w:lvl w:ilvl="0" w:tplc="A33A5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1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61109"/>
    <w:multiLevelType w:val="multilevel"/>
    <w:tmpl w:val="6FF8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36578"/>
    <w:multiLevelType w:val="hybridMultilevel"/>
    <w:tmpl w:val="EB0E1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5AAD"/>
    <w:multiLevelType w:val="hybridMultilevel"/>
    <w:tmpl w:val="C494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6B01"/>
    <w:multiLevelType w:val="hybridMultilevel"/>
    <w:tmpl w:val="A3F6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6095E"/>
    <w:multiLevelType w:val="hybridMultilevel"/>
    <w:tmpl w:val="3CE8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1DB9"/>
    <w:multiLevelType w:val="hybridMultilevel"/>
    <w:tmpl w:val="E6B679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B2525E"/>
    <w:multiLevelType w:val="multilevel"/>
    <w:tmpl w:val="555E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35B15"/>
    <w:multiLevelType w:val="hybridMultilevel"/>
    <w:tmpl w:val="108E5FEA"/>
    <w:lvl w:ilvl="0" w:tplc="14FA2536">
      <w:start w:val="1"/>
      <w:numFmt w:val="bullet"/>
      <w:pStyle w:val="T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96864"/>
    <w:multiLevelType w:val="hybridMultilevel"/>
    <w:tmpl w:val="3B54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F3A81"/>
    <w:multiLevelType w:val="hybridMultilevel"/>
    <w:tmpl w:val="63AE6C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0D5452"/>
    <w:multiLevelType w:val="hybridMultilevel"/>
    <w:tmpl w:val="1296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36DC5"/>
    <w:multiLevelType w:val="hybridMultilevel"/>
    <w:tmpl w:val="84F2CCA2"/>
    <w:lvl w:ilvl="0" w:tplc="22F8E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E7312"/>
    <w:multiLevelType w:val="hybridMultilevel"/>
    <w:tmpl w:val="899CB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02FE8"/>
    <w:multiLevelType w:val="hybridMultilevel"/>
    <w:tmpl w:val="4BE8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A17E0"/>
    <w:multiLevelType w:val="hybridMultilevel"/>
    <w:tmpl w:val="24EC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20D42"/>
    <w:multiLevelType w:val="hybridMultilevel"/>
    <w:tmpl w:val="951A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64EE0"/>
    <w:multiLevelType w:val="hybridMultilevel"/>
    <w:tmpl w:val="6C30E650"/>
    <w:lvl w:ilvl="0" w:tplc="5154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B3390"/>
    <w:multiLevelType w:val="multilevel"/>
    <w:tmpl w:val="A7CA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B0047A"/>
    <w:multiLevelType w:val="multilevel"/>
    <w:tmpl w:val="D08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D5FE0"/>
    <w:multiLevelType w:val="multilevel"/>
    <w:tmpl w:val="BD6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07047"/>
    <w:multiLevelType w:val="multilevel"/>
    <w:tmpl w:val="38B8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B50BDA"/>
    <w:multiLevelType w:val="hybridMultilevel"/>
    <w:tmpl w:val="B9EC0726"/>
    <w:lvl w:ilvl="0" w:tplc="211A58B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591C2A"/>
    <w:multiLevelType w:val="hybridMultilevel"/>
    <w:tmpl w:val="F75894BA"/>
    <w:lvl w:ilvl="0" w:tplc="497C73AE">
      <w:start w:val="1"/>
      <w:numFmt w:val="decimal"/>
      <w:pStyle w:val="TListNumber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3399"/>
    <w:multiLevelType w:val="multilevel"/>
    <w:tmpl w:val="445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15CA4"/>
    <w:multiLevelType w:val="multilevel"/>
    <w:tmpl w:val="867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B0D47"/>
    <w:multiLevelType w:val="hybridMultilevel"/>
    <w:tmpl w:val="72F462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olor w:val="46DCDC" w:themeColor="accent1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5675"/>
    <w:multiLevelType w:val="multilevel"/>
    <w:tmpl w:val="2E52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937BF4"/>
    <w:multiLevelType w:val="multilevel"/>
    <w:tmpl w:val="05B4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E7E10"/>
    <w:multiLevelType w:val="hybridMultilevel"/>
    <w:tmpl w:val="19BE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40260">
    <w:abstractNumId w:val="0"/>
  </w:num>
  <w:num w:numId="2" w16cid:durableId="328413355">
    <w:abstractNumId w:val="1"/>
  </w:num>
  <w:num w:numId="3" w16cid:durableId="625239955">
    <w:abstractNumId w:val="5"/>
  </w:num>
  <w:num w:numId="4" w16cid:durableId="782842746">
    <w:abstractNumId w:val="31"/>
  </w:num>
  <w:num w:numId="5" w16cid:durableId="237175768">
    <w:abstractNumId w:val="5"/>
  </w:num>
  <w:num w:numId="6" w16cid:durableId="1806973292">
    <w:abstractNumId w:val="14"/>
  </w:num>
  <w:num w:numId="7" w16cid:durableId="2080593760">
    <w:abstractNumId w:val="9"/>
  </w:num>
  <w:num w:numId="8" w16cid:durableId="1620794711">
    <w:abstractNumId w:val="28"/>
  </w:num>
  <w:num w:numId="9" w16cid:durableId="53820383">
    <w:abstractNumId w:val="7"/>
  </w:num>
  <w:num w:numId="10" w16cid:durableId="144705351">
    <w:abstractNumId w:val="13"/>
  </w:num>
  <w:num w:numId="11" w16cid:durableId="754282052">
    <w:abstractNumId w:val="17"/>
  </w:num>
  <w:num w:numId="12" w16cid:durableId="1261522663">
    <w:abstractNumId w:val="11"/>
  </w:num>
  <w:num w:numId="13" w16cid:durableId="23289869">
    <w:abstractNumId w:val="15"/>
  </w:num>
  <w:num w:numId="14" w16cid:durableId="1630890874">
    <w:abstractNumId w:val="22"/>
  </w:num>
  <w:num w:numId="15" w16cid:durableId="463237112">
    <w:abstractNumId w:val="27"/>
  </w:num>
  <w:num w:numId="16" w16cid:durableId="658971617">
    <w:abstractNumId w:val="28"/>
    <w:lvlOverride w:ilvl="0">
      <w:startOverride w:val="1"/>
    </w:lvlOverride>
  </w:num>
  <w:num w:numId="17" w16cid:durableId="1965891400">
    <w:abstractNumId w:val="19"/>
  </w:num>
  <w:num w:numId="18" w16cid:durableId="218058704">
    <w:abstractNumId w:val="10"/>
  </w:num>
  <w:num w:numId="19" w16cid:durableId="322049344">
    <w:abstractNumId w:val="3"/>
  </w:num>
  <w:num w:numId="20" w16cid:durableId="57635302">
    <w:abstractNumId w:val="29"/>
  </w:num>
  <w:num w:numId="21" w16cid:durableId="831528312">
    <w:abstractNumId w:val="6"/>
  </w:num>
  <w:num w:numId="22" w16cid:durableId="464858406">
    <w:abstractNumId w:val="26"/>
  </w:num>
  <w:num w:numId="23" w16cid:durableId="1481577850">
    <w:abstractNumId w:val="24"/>
  </w:num>
  <w:num w:numId="24" w16cid:durableId="94055767">
    <w:abstractNumId w:val="12"/>
  </w:num>
  <w:num w:numId="25" w16cid:durableId="164824784">
    <w:abstractNumId w:val="2"/>
  </w:num>
  <w:num w:numId="26" w16cid:durableId="1890997969">
    <w:abstractNumId w:val="25"/>
  </w:num>
  <w:num w:numId="27" w16cid:durableId="2109227219">
    <w:abstractNumId w:val="16"/>
  </w:num>
  <w:num w:numId="28" w16cid:durableId="247269790">
    <w:abstractNumId w:val="32"/>
  </w:num>
  <w:num w:numId="29" w16cid:durableId="1806922654">
    <w:abstractNumId w:val="30"/>
  </w:num>
  <w:num w:numId="30" w16cid:durableId="902715064">
    <w:abstractNumId w:val="23"/>
  </w:num>
  <w:num w:numId="31" w16cid:durableId="254091881">
    <w:abstractNumId w:val="4"/>
  </w:num>
  <w:num w:numId="32" w16cid:durableId="1158807917">
    <w:abstractNumId w:val="33"/>
  </w:num>
  <w:num w:numId="33" w16cid:durableId="655694256">
    <w:abstractNumId w:val="8"/>
  </w:num>
  <w:num w:numId="34" w16cid:durableId="1175416714">
    <w:abstractNumId w:val="21"/>
  </w:num>
  <w:num w:numId="35" w16cid:durableId="911964880">
    <w:abstractNumId w:val="18"/>
  </w:num>
  <w:num w:numId="36" w16cid:durableId="457335997">
    <w:abstractNumId w:val="34"/>
  </w:num>
  <w:num w:numId="37" w16cid:durableId="65664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8F"/>
    <w:rsid w:val="00030E4D"/>
    <w:rsid w:val="000846B3"/>
    <w:rsid w:val="00097EAF"/>
    <w:rsid w:val="000A21DD"/>
    <w:rsid w:val="000A766E"/>
    <w:rsid w:val="000B4211"/>
    <w:rsid w:val="00101795"/>
    <w:rsid w:val="001122B5"/>
    <w:rsid w:val="0012797D"/>
    <w:rsid w:val="001334FA"/>
    <w:rsid w:val="001565D5"/>
    <w:rsid w:val="001628BF"/>
    <w:rsid w:val="001D7A21"/>
    <w:rsid w:val="00227BFB"/>
    <w:rsid w:val="00241070"/>
    <w:rsid w:val="0026154A"/>
    <w:rsid w:val="00262976"/>
    <w:rsid w:val="002955FF"/>
    <w:rsid w:val="00326F82"/>
    <w:rsid w:val="00341E9B"/>
    <w:rsid w:val="003565E6"/>
    <w:rsid w:val="00372E88"/>
    <w:rsid w:val="00383E90"/>
    <w:rsid w:val="003B100B"/>
    <w:rsid w:val="00412D3E"/>
    <w:rsid w:val="00423C6D"/>
    <w:rsid w:val="004437C4"/>
    <w:rsid w:val="00443BCC"/>
    <w:rsid w:val="00446F8F"/>
    <w:rsid w:val="00475507"/>
    <w:rsid w:val="00481E5C"/>
    <w:rsid w:val="00482535"/>
    <w:rsid w:val="004A19EE"/>
    <w:rsid w:val="005405FE"/>
    <w:rsid w:val="00562F54"/>
    <w:rsid w:val="005635BF"/>
    <w:rsid w:val="00585728"/>
    <w:rsid w:val="005876EE"/>
    <w:rsid w:val="005A0E9E"/>
    <w:rsid w:val="005A2F1D"/>
    <w:rsid w:val="005E08E5"/>
    <w:rsid w:val="005E4B6D"/>
    <w:rsid w:val="005F090E"/>
    <w:rsid w:val="00617334"/>
    <w:rsid w:val="00617924"/>
    <w:rsid w:val="00620F5E"/>
    <w:rsid w:val="0062525F"/>
    <w:rsid w:val="00636AF8"/>
    <w:rsid w:val="00672722"/>
    <w:rsid w:val="006826D1"/>
    <w:rsid w:val="00683D3C"/>
    <w:rsid w:val="00693F5C"/>
    <w:rsid w:val="006B4D65"/>
    <w:rsid w:val="006C76E1"/>
    <w:rsid w:val="006E3990"/>
    <w:rsid w:val="00705D72"/>
    <w:rsid w:val="0071192D"/>
    <w:rsid w:val="00715292"/>
    <w:rsid w:val="00735AC7"/>
    <w:rsid w:val="007503AB"/>
    <w:rsid w:val="00771115"/>
    <w:rsid w:val="00774C1D"/>
    <w:rsid w:val="00780A52"/>
    <w:rsid w:val="007A6D03"/>
    <w:rsid w:val="007B2E16"/>
    <w:rsid w:val="007E5347"/>
    <w:rsid w:val="007E7545"/>
    <w:rsid w:val="007F0FB6"/>
    <w:rsid w:val="00815B69"/>
    <w:rsid w:val="008237AC"/>
    <w:rsid w:val="00825FE2"/>
    <w:rsid w:val="008A6DDA"/>
    <w:rsid w:val="008C0269"/>
    <w:rsid w:val="008D0740"/>
    <w:rsid w:val="008D3C66"/>
    <w:rsid w:val="008D7892"/>
    <w:rsid w:val="008F63A9"/>
    <w:rsid w:val="008F6E62"/>
    <w:rsid w:val="009302F8"/>
    <w:rsid w:val="00975804"/>
    <w:rsid w:val="00975836"/>
    <w:rsid w:val="00991B29"/>
    <w:rsid w:val="009D3536"/>
    <w:rsid w:val="00A234E6"/>
    <w:rsid w:val="00A265E6"/>
    <w:rsid w:val="00A405CE"/>
    <w:rsid w:val="00A41578"/>
    <w:rsid w:val="00A44A51"/>
    <w:rsid w:val="00A50FDD"/>
    <w:rsid w:val="00A91469"/>
    <w:rsid w:val="00A932AA"/>
    <w:rsid w:val="00AB2C0D"/>
    <w:rsid w:val="00AC3C99"/>
    <w:rsid w:val="00B2155C"/>
    <w:rsid w:val="00B23D1C"/>
    <w:rsid w:val="00B31261"/>
    <w:rsid w:val="00B374C6"/>
    <w:rsid w:val="00B512CB"/>
    <w:rsid w:val="00B528CA"/>
    <w:rsid w:val="00B577DA"/>
    <w:rsid w:val="00B63F28"/>
    <w:rsid w:val="00B73FFE"/>
    <w:rsid w:val="00B90675"/>
    <w:rsid w:val="00BD1728"/>
    <w:rsid w:val="00BF4596"/>
    <w:rsid w:val="00BF7019"/>
    <w:rsid w:val="00C1131A"/>
    <w:rsid w:val="00C15F81"/>
    <w:rsid w:val="00C350A9"/>
    <w:rsid w:val="00C4518E"/>
    <w:rsid w:val="00C7044D"/>
    <w:rsid w:val="00CB2A4F"/>
    <w:rsid w:val="00CD18B1"/>
    <w:rsid w:val="00CD3556"/>
    <w:rsid w:val="00CE45FE"/>
    <w:rsid w:val="00CF59F7"/>
    <w:rsid w:val="00D20ED4"/>
    <w:rsid w:val="00D25003"/>
    <w:rsid w:val="00D40E93"/>
    <w:rsid w:val="00D5481C"/>
    <w:rsid w:val="00D63E50"/>
    <w:rsid w:val="00D65DFD"/>
    <w:rsid w:val="00DA2A1A"/>
    <w:rsid w:val="00DA2F3E"/>
    <w:rsid w:val="00DA5655"/>
    <w:rsid w:val="00DB7651"/>
    <w:rsid w:val="00DC0019"/>
    <w:rsid w:val="00DD164B"/>
    <w:rsid w:val="00DD58D5"/>
    <w:rsid w:val="00DE3E11"/>
    <w:rsid w:val="00E0087A"/>
    <w:rsid w:val="00E41C70"/>
    <w:rsid w:val="00E530AE"/>
    <w:rsid w:val="00E53A20"/>
    <w:rsid w:val="00E55797"/>
    <w:rsid w:val="00E5632C"/>
    <w:rsid w:val="00E56BD0"/>
    <w:rsid w:val="00E811DA"/>
    <w:rsid w:val="00E95D06"/>
    <w:rsid w:val="00E97913"/>
    <w:rsid w:val="00EB39C3"/>
    <w:rsid w:val="00EC18DE"/>
    <w:rsid w:val="00EF1734"/>
    <w:rsid w:val="00EF5ABF"/>
    <w:rsid w:val="00F06FC7"/>
    <w:rsid w:val="00F17861"/>
    <w:rsid w:val="00F34CFB"/>
    <w:rsid w:val="00F6174E"/>
    <w:rsid w:val="00F76247"/>
    <w:rsid w:val="00F978D7"/>
    <w:rsid w:val="00FB26AA"/>
    <w:rsid w:val="00FB2CE7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F59D"/>
  <w15:chartTrackingRefBased/>
  <w15:docId w15:val="{535F4C86-7156-4A51-B7C2-9AEC9453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36"/>
    <w:pPr>
      <w:spacing w:after="210" w:line="264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B39C3"/>
    <w:pPr>
      <w:contextualSpacing/>
      <w:outlineLvl w:val="0"/>
    </w:pPr>
    <w:rPr>
      <w:rFonts w:eastAsia="MS Gothic" w:cs="Arial"/>
      <w:b/>
      <w:bCs/>
      <w:sz w:val="36"/>
      <w:szCs w:val="36"/>
      <w:lang w:val="en-US"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85728"/>
    <w:pPr>
      <w:keepNext/>
      <w:outlineLvl w:val="1"/>
    </w:pPr>
    <w:rPr>
      <w:b/>
      <w:bCs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585728"/>
    <w:pPr>
      <w:numPr>
        <w:ilvl w:val="2"/>
      </w:numPr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797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9C3"/>
    <w:rPr>
      <w:rFonts w:ascii="Arial" w:eastAsia="MS Gothic" w:hAnsi="Arial" w:cs="Arial"/>
      <w:b/>
      <w:bCs/>
      <w:sz w:val="36"/>
      <w:szCs w:val="36"/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ListNumber">
    <w:name w:val="List Number"/>
    <w:basedOn w:val="ListBullet"/>
    <w:uiPriority w:val="99"/>
    <w:unhideWhenUsed/>
    <w:rsid w:val="00585728"/>
  </w:style>
  <w:style w:type="paragraph" w:styleId="ListBullet">
    <w:name w:val="List Bullet"/>
    <w:basedOn w:val="Normal"/>
    <w:uiPriority w:val="99"/>
    <w:unhideWhenUsed/>
    <w:rsid w:val="00585728"/>
    <w:pPr>
      <w:contextualSpacing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Title">
    <w:name w:val="Title"/>
    <w:basedOn w:val="Normal"/>
    <w:link w:val="TitleChar"/>
    <w:qFormat/>
    <w:rsid w:val="00825FE2"/>
    <w:pPr>
      <w:jc w:val="center"/>
    </w:pPr>
    <w:rPr>
      <w:b/>
      <w:sz w:val="20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25FE2"/>
    <w:rPr>
      <w:rFonts w:ascii="Arial" w:hAnsi="Arial" w:cs="Times New Roman"/>
      <w:b/>
      <w:sz w:val="20"/>
      <w:szCs w:val="20"/>
      <w:u w:val="single"/>
      <w:lang w:val="en-US"/>
    </w:rPr>
  </w:style>
  <w:style w:type="paragraph" w:customStyle="1" w:styleId="TemplateHeaderReplace">
    <w:name w:val="Template Header Replace"/>
    <w:basedOn w:val="Normal"/>
    <w:qFormat/>
    <w:rsid w:val="00975836"/>
    <w:pPr>
      <w:ind w:left="-567"/>
      <w:jc w:val="both"/>
    </w:pPr>
    <w:rPr>
      <w:rFonts w:cstheme="minorHAnsi"/>
      <w:b/>
      <w:color w:val="46DCDC" w:themeColor="accent1"/>
      <w:sz w:val="44"/>
      <w:szCs w:val="44"/>
    </w:rPr>
  </w:style>
  <w:style w:type="table" w:styleId="TableGrid">
    <w:name w:val="Table Grid"/>
    <w:basedOn w:val="TableNormal"/>
    <w:uiPriority w:val="59"/>
    <w:rsid w:val="00825FE2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836"/>
    <w:rPr>
      <w:b/>
      <w:color w:val="46DCDC" w:themeColor="accent1"/>
      <w:u w:val="none"/>
    </w:rPr>
  </w:style>
  <w:style w:type="paragraph" w:customStyle="1" w:styleId="TemplateHeader">
    <w:name w:val="Template Header"/>
    <w:basedOn w:val="Normal"/>
    <w:qFormat/>
    <w:rsid w:val="00975836"/>
    <w:pPr>
      <w:ind w:left="-567"/>
      <w:jc w:val="both"/>
    </w:pPr>
    <w:rPr>
      <w:rFonts w:cstheme="minorHAnsi"/>
      <w:b/>
      <w:color w:val="000000" w:themeColor="text1"/>
      <w:sz w:val="44"/>
      <w:szCs w:val="44"/>
    </w:rPr>
  </w:style>
  <w:style w:type="paragraph" w:customStyle="1" w:styleId="TemplateSubtitle">
    <w:name w:val="Template Subtitle"/>
    <w:basedOn w:val="Normal"/>
    <w:qFormat/>
    <w:rsid w:val="00825FE2"/>
    <w:pPr>
      <w:ind w:left="-567"/>
    </w:pPr>
    <w:rPr>
      <w:rFonts w:asciiTheme="minorHAnsi" w:hAnsiTheme="minorHAnsi" w:cstheme="minorHAnsi"/>
      <w:b/>
    </w:rPr>
  </w:style>
  <w:style w:type="paragraph" w:customStyle="1" w:styleId="DELETETHISTEXT">
    <w:name w:val="DELETE THIS TEXT"/>
    <w:basedOn w:val="Normal"/>
    <w:link w:val="DELETETHISTEXTChar"/>
    <w:qFormat/>
    <w:rsid w:val="00975836"/>
    <w:pPr>
      <w:ind w:left="-567"/>
    </w:pPr>
    <w:rPr>
      <w:rFonts w:cstheme="minorHAnsi"/>
      <w:i/>
      <w:iCs/>
      <w:color w:val="46DCDC" w:themeColor="accent1"/>
    </w:rPr>
  </w:style>
  <w:style w:type="character" w:customStyle="1" w:styleId="DELETETHISTEXTChar">
    <w:name w:val="DELETE THIS TEXT Char"/>
    <w:basedOn w:val="DefaultParagraphFont"/>
    <w:link w:val="DELETETHISTEXT"/>
    <w:rsid w:val="00975836"/>
    <w:rPr>
      <w:rFonts w:ascii="Arial" w:hAnsi="Arial" w:cstheme="minorHAnsi"/>
      <w:i/>
      <w:iCs/>
      <w:color w:val="46DCDC" w:themeColor="accent1"/>
      <w:szCs w:val="24"/>
    </w:rPr>
  </w:style>
  <w:style w:type="paragraph" w:customStyle="1" w:styleId="Table-HeaderRow">
    <w:name w:val="Table - Header Row"/>
    <w:basedOn w:val="Normal"/>
    <w:qFormat/>
    <w:rsid w:val="00262976"/>
    <w:pPr>
      <w:contextualSpacing/>
      <w:jc w:val="center"/>
    </w:pPr>
    <w:rPr>
      <w:b/>
      <w:caps/>
      <w:color w:val="FFFFFF" w:themeColor="background1"/>
      <w:sz w:val="18"/>
      <w:szCs w:val="22"/>
      <w:lang w:bidi="en-US"/>
    </w:rPr>
  </w:style>
  <w:style w:type="table" w:customStyle="1" w:styleId="ATEBTableChunky">
    <w:name w:val="ATEB Table (Chunky)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ATEBTable">
    <w:name w:val="ATEB Table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-FirstColumn">
    <w:name w:val="Table - First Column"/>
    <w:basedOn w:val="Table-HeaderRow"/>
    <w:qFormat/>
    <w:rsid w:val="00262976"/>
    <w:pPr>
      <w:jc w:val="left"/>
    </w:pPr>
    <w:rPr>
      <w:caps w:val="0"/>
      <w:color w:val="46DCD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76"/>
    <w:rPr>
      <w:rFonts w:asciiTheme="majorHAnsi" w:eastAsiaTheme="majorEastAsia" w:hAnsiTheme="majorHAnsi" w:cstheme="majorBidi"/>
      <w:color w:val="177979" w:themeColor="accent1" w:themeShade="7F"/>
      <w:sz w:val="24"/>
      <w:szCs w:val="24"/>
    </w:rPr>
  </w:style>
  <w:style w:type="table" w:customStyle="1" w:styleId="ATEBTable2">
    <w:name w:val="ATEB Table 2"/>
    <w:basedOn w:val="ATEBTable"/>
    <w:uiPriority w:val="99"/>
    <w:rsid w:val="00262976"/>
    <w:tblPr>
      <w:tblStyleColBandSize w:val="1"/>
    </w:tblPr>
    <w:tblStylePr w:type="firstRow">
      <w:pPr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Col">
      <w:rPr>
        <w:b/>
      </w:rPr>
    </w:tblStylePr>
    <w:tblStylePr w:type="band2Vert">
      <w:tblPr/>
      <w:tcPr>
        <w:shd w:val="clear" w:color="auto" w:fill="46DCDC" w:themeFill="accent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2-FirstColumn">
    <w:name w:val="Table 2 - First Column"/>
    <w:basedOn w:val="Table-FirstColumn"/>
    <w:qFormat/>
    <w:rsid w:val="00262976"/>
    <w:rPr>
      <w:caps/>
      <w:color w:val="FFFFFF" w:themeColor="background1"/>
      <w:lang w:val="en-US"/>
    </w:rPr>
  </w:style>
  <w:style w:type="paragraph" w:styleId="Header">
    <w:name w:val="header"/>
    <w:basedOn w:val="Normal"/>
    <w:link w:val="HeaderChar"/>
    <w:unhideWhenUsed/>
    <w:rsid w:val="00C11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3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1A"/>
    <w:rPr>
      <w:rFonts w:ascii="Times New Roman" w:hAnsi="Times New Roman" w:cs="Times New Roman"/>
      <w:sz w:val="24"/>
      <w:szCs w:val="24"/>
    </w:rPr>
  </w:style>
  <w:style w:type="paragraph" w:customStyle="1" w:styleId="TListNumber1">
    <w:name w:val="T List Number 1"/>
    <w:basedOn w:val="ListNumber"/>
    <w:next w:val="Normal"/>
    <w:qFormat/>
    <w:rsid w:val="000A21DD"/>
    <w:pPr>
      <w:numPr>
        <w:numId w:val="8"/>
      </w:numPr>
    </w:pPr>
    <w:rPr>
      <w:rFonts w:cs="Calibri"/>
      <w:color w:val="000000" w:themeColor="text1"/>
      <w:szCs w:val="22"/>
      <w:lang w:bidi="en-US"/>
    </w:rPr>
  </w:style>
  <w:style w:type="paragraph" w:customStyle="1" w:styleId="TListBullet1">
    <w:name w:val="T List Bullet 1"/>
    <w:basedOn w:val="ListBullet"/>
    <w:next w:val="Normal"/>
    <w:qFormat/>
    <w:rsid w:val="000A21DD"/>
    <w:pPr>
      <w:numPr>
        <w:numId w:val="10"/>
      </w:numPr>
      <w:ind w:left="717"/>
    </w:pPr>
    <w:rPr>
      <w:rFonts w:cs="Calibri"/>
      <w:color w:val="000000" w:themeColor="text1"/>
      <w:szCs w:val="22"/>
      <w:lang w:bidi="en-US"/>
    </w:rPr>
  </w:style>
  <w:style w:type="paragraph" w:customStyle="1" w:styleId="TDocumentHeading">
    <w:name w:val="T Document Heading"/>
    <w:basedOn w:val="Title"/>
    <w:next w:val="Normal"/>
    <w:qFormat/>
    <w:rsid w:val="008D7892"/>
    <w:pPr>
      <w:ind w:right="567"/>
      <w:jc w:val="left"/>
    </w:pPr>
    <w:rPr>
      <w:rFonts w:cs="Arial"/>
      <w:color w:val="000000" w:themeColor="text1"/>
      <w:sz w:val="56"/>
      <w:szCs w:val="56"/>
      <w:u w:val="none"/>
      <w:lang w:val="en-GB"/>
    </w:rPr>
  </w:style>
  <w:style w:type="table" w:customStyle="1" w:styleId="TTable1">
    <w:name w:val="T Table 1"/>
    <w:basedOn w:val="ATEBTable"/>
    <w:uiPriority w:val="99"/>
    <w:rsid w:val="00B528CA"/>
    <w:pPr>
      <w:spacing w:after="0"/>
    </w:pPr>
    <w:rPr>
      <w:sz w:val="22"/>
    </w:rPr>
    <w:tblPr/>
    <w:tcPr>
      <w:shd w:val="clear" w:color="auto" w:fill="E6E6E6" w:themeFill="background1" w:themeFillShade="E6"/>
    </w:tcPr>
    <w:tblStylePr w:type="firstRow">
      <w:pPr>
        <w:jc w:val="center"/>
      </w:pPr>
      <w:rPr>
        <w:rFonts w:ascii="Arial" w:hAnsi="Arial"/>
        <w:b/>
        <w:color w:val="auto"/>
        <w:sz w:val="20"/>
      </w:rPr>
      <w:tblPr/>
      <w:tcPr>
        <w:shd w:val="clear" w:color="auto" w:fill="E7E6E6" w:themeFill="background2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PlainTable3">
    <w:name w:val="Plain Table 3"/>
    <w:basedOn w:val="TableNormal"/>
    <w:uiPriority w:val="43"/>
    <w:rsid w:val="00DC0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B512CB"/>
    <w:pPr>
      <w:spacing w:after="0" w:line="240" w:lineRule="auto"/>
    </w:pPr>
    <w:tblPr/>
    <w:tblStylePr w:type="firstRow">
      <w:rPr>
        <w:rFonts w:ascii="Calibri" w:hAnsi="Calibri"/>
      </w:rPr>
      <w:tblPr/>
      <w:tcPr>
        <w:shd w:val="clear" w:color="auto" w:fill="E7E6E6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341E9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341E9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876EE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2B6B6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876EE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29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sReynolds\AppData\Local\Microsoft\Windows\INetCache\Content.Outlook\2H8PQPN9\Thistle%20Toolkit%20Template%20TI%20v2%20(003).dotx" TargetMode="External"/></Relationships>
</file>

<file path=word/theme/theme1.xml><?xml version="1.0" encoding="utf-8"?>
<a:theme xmlns:a="http://schemas.openxmlformats.org/drawingml/2006/main" name="TI">
  <a:themeElements>
    <a:clrScheme name="TI Colours">
      <a:dk1>
        <a:srgbClr val="000000"/>
      </a:dk1>
      <a:lt1>
        <a:srgbClr val="FFFFFF"/>
      </a:lt1>
      <a:dk2>
        <a:srgbClr val="2E2755"/>
      </a:dk2>
      <a:lt2>
        <a:srgbClr val="E7E6E6"/>
      </a:lt2>
      <a:accent1>
        <a:srgbClr val="46DCDC"/>
      </a:accent1>
      <a:accent2>
        <a:srgbClr val="BBF2F2"/>
      </a:accent2>
      <a:accent3>
        <a:srgbClr val="F596C5"/>
      </a:accent3>
      <a:accent4>
        <a:srgbClr val="CBF2F9"/>
      </a:accent4>
      <a:accent5>
        <a:srgbClr val="F5960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I" id="{80101267-20CE-524B-B065-B7A7855357E6}" vid="{B27ECFF7-BAB6-D844-BD8F-8BA374C07FA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1E598-369A-414D-B0AD-B090785F72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a7b0ae-d366-4174-8f86-7e626741fcd7"/>
    <ds:schemaRef ds:uri="a1597107-7dfc-4cce-a4d1-d062d8ec457d"/>
  </ds:schemaRefs>
</ds:datastoreItem>
</file>

<file path=customXml/itemProps2.xml><?xml version="1.0" encoding="utf-8"?>
<ds:datastoreItem xmlns:ds="http://schemas.openxmlformats.org/officeDocument/2006/customXml" ds:itemID="{4DF388BA-37EB-40CD-A297-E43FBE229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F3A04-4FB3-45A7-A4C3-F45E072C1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C0EF9-7538-4EB1-9FB4-42266EBA4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a7b0ae-d366-4174-8f86-7e626741fcd7"/>
    <ds:schemaRef ds:uri="a1597107-7dfc-4cce-a4d1-d062d8ec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Thistle Toolkit Template TI v2 (003)</Template>
  <TotalTime>0</TotalTime>
  <Pages>5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Reynolds</dc:creator>
  <cp:keywords/>
  <dc:description/>
  <cp:lastModifiedBy>Lisa Cross</cp:lastModifiedBy>
  <cp:revision>76</cp:revision>
  <dcterms:created xsi:type="dcterms:W3CDTF">2024-08-08T16:20:00Z</dcterms:created>
  <dcterms:modified xsi:type="dcterms:W3CDTF">2026-05-08T12:36:00Z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