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092F6" w14:textId="7E8D1399" w:rsidR="008D16F2" w:rsidRDefault="008D16F2" w:rsidP="00954528">
      <w:pPr>
        <w:rPr>
          <w:color w:val="FF0000"/>
          <w:sz w:val="32"/>
          <w:szCs w:val="32"/>
        </w:rPr>
      </w:pPr>
    </w:p>
    <w:p w14:paraId="39BAB4BE" w14:textId="77777777" w:rsidR="00560F34" w:rsidRDefault="00560F34" w:rsidP="00954528">
      <w:pPr>
        <w:rPr>
          <w:color w:val="FF0000"/>
          <w:sz w:val="32"/>
          <w:szCs w:val="32"/>
        </w:rPr>
      </w:pPr>
    </w:p>
    <w:p w14:paraId="129005AF" w14:textId="77777777" w:rsidR="00560F34" w:rsidRDefault="00560F34" w:rsidP="00954528">
      <w:pPr>
        <w:rPr>
          <w:color w:val="FF0000"/>
          <w:sz w:val="32"/>
          <w:szCs w:val="32"/>
        </w:rPr>
      </w:pPr>
    </w:p>
    <w:p w14:paraId="61CC82E4" w14:textId="77777777" w:rsidR="00560F34" w:rsidRDefault="00560F34" w:rsidP="00954528">
      <w:pPr>
        <w:rPr>
          <w:color w:val="FF0000"/>
          <w:sz w:val="32"/>
          <w:szCs w:val="32"/>
        </w:rPr>
      </w:pPr>
    </w:p>
    <w:p w14:paraId="48AF02CB" w14:textId="77ABD9C8" w:rsidR="00560F34" w:rsidRPr="00560F34" w:rsidRDefault="00560F34" w:rsidP="00560F34">
      <w:pPr>
        <w:rPr>
          <w:b/>
          <w:bCs/>
          <w:color w:val="FF0000"/>
          <w:sz w:val="32"/>
          <w:szCs w:val="32"/>
        </w:rPr>
      </w:pPr>
      <w:r w:rsidRPr="00560F34">
        <w:rPr>
          <w:b/>
          <w:bCs/>
          <w:sz w:val="32"/>
          <w:szCs w:val="32"/>
        </w:rPr>
        <w:t>CONSUMER DUTY FAIR VALUE ASSESSMENT</w:t>
      </w:r>
    </w:p>
    <w:p w14:paraId="415AB222" w14:textId="77777777" w:rsidR="00560F34" w:rsidRDefault="00560F34" w:rsidP="00560F34">
      <w:pPr>
        <w:rPr>
          <w:rFonts w:cs="Arial"/>
          <w:lang w:bidi="en-US"/>
        </w:rPr>
      </w:pPr>
    </w:p>
    <w:p w14:paraId="2C0B4DA8" w14:textId="77777777" w:rsidR="00560F34" w:rsidRDefault="00560F34" w:rsidP="00560F34">
      <w:pPr>
        <w:rPr>
          <w:rFonts w:cs="Arial"/>
          <w:lang w:bidi="en-US"/>
        </w:rPr>
      </w:pPr>
    </w:p>
    <w:p w14:paraId="6725DAB4" w14:textId="0FBD9FB3" w:rsidR="00560F34" w:rsidRPr="00FB1625" w:rsidRDefault="00560F34" w:rsidP="00560F34">
      <w:pPr>
        <w:rPr>
          <w:rFonts w:cs="Arial"/>
          <w:b/>
          <w:bCs/>
          <w:lang w:bidi="en-US"/>
        </w:rPr>
      </w:pPr>
      <w:r w:rsidRPr="003D42C0">
        <w:rPr>
          <w:rFonts w:cs="Arial"/>
          <w:lang w:bidi="en-US"/>
        </w:rPr>
        <w:t>Date Conducted:</w:t>
      </w:r>
      <w:r w:rsidRPr="003D42C0">
        <w:rPr>
          <w:rFonts w:cs="Arial"/>
          <w:lang w:bidi="en-US"/>
        </w:rPr>
        <w:tab/>
      </w:r>
      <w:r w:rsidRPr="00FB1625">
        <w:rPr>
          <w:rFonts w:eastAsia="Times New Roman" w:cs="Times New Roman"/>
          <w:b/>
          <w:bCs/>
          <w:szCs w:val="20"/>
        </w:rPr>
        <w:t>July 20</w:t>
      </w:r>
      <w:r w:rsidR="00F71072" w:rsidRPr="00F71072">
        <w:rPr>
          <w:rFonts w:eastAsia="Times New Roman" w:cs="Times New Roman"/>
          <w:b/>
          <w:bCs/>
          <w:color w:val="EE0000"/>
          <w:szCs w:val="20"/>
        </w:rPr>
        <w:t>XX</w:t>
      </w:r>
    </w:p>
    <w:p w14:paraId="3DBA459D" w14:textId="0535DF94" w:rsidR="00560F34" w:rsidRPr="00A9003A" w:rsidRDefault="00560F34" w:rsidP="00954528">
      <w:pPr>
        <w:rPr>
          <w:rFonts w:cs="Arial"/>
          <w:b/>
          <w:bCs/>
          <w:color w:val="000000" w:themeColor="text1"/>
          <w:lang w:bidi="en-US"/>
        </w:rPr>
      </w:pPr>
      <w:r w:rsidRPr="003D42C0">
        <w:rPr>
          <w:rFonts w:cs="Arial"/>
          <w:lang w:bidi="en-US"/>
        </w:rPr>
        <w:t>Conducted</w:t>
      </w:r>
      <w:r>
        <w:rPr>
          <w:rFonts w:cs="Arial"/>
          <w:lang w:bidi="en-US"/>
        </w:rPr>
        <w:t xml:space="preserve"> By</w:t>
      </w:r>
      <w:r w:rsidRPr="003D42C0">
        <w:rPr>
          <w:rFonts w:cs="Arial"/>
          <w:lang w:bidi="en-US"/>
        </w:rPr>
        <w:t>:</w:t>
      </w:r>
      <w:r>
        <w:rPr>
          <w:rFonts w:cs="Arial"/>
          <w:lang w:bidi="en-US"/>
        </w:rPr>
        <w:tab/>
      </w:r>
      <w:r w:rsidRPr="003D42C0">
        <w:rPr>
          <w:rFonts w:cs="Arial"/>
          <w:lang w:bidi="en-US"/>
        </w:rPr>
        <w:tab/>
      </w:r>
    </w:p>
    <w:p w14:paraId="358AD73B" w14:textId="77777777" w:rsidR="0018219B" w:rsidRPr="0018219B" w:rsidRDefault="0018219B" w:rsidP="007F0C92">
      <w:pPr>
        <w:rPr>
          <w:u w:val="single"/>
        </w:rPr>
      </w:pPr>
      <w:r w:rsidRPr="0018219B">
        <w:rPr>
          <w:u w:val="single"/>
        </w:rPr>
        <w:t>OBJECTIVE</w:t>
      </w:r>
    </w:p>
    <w:p w14:paraId="22AC06B0" w14:textId="09CE65A8" w:rsidR="00BC12AC" w:rsidRDefault="0018219B" w:rsidP="007F0C92">
      <w:r>
        <w:t xml:space="preserve">In undertaking </w:t>
      </w:r>
      <w:r w:rsidR="00BC12AC">
        <w:t xml:space="preserve">these Fair Value Assessments (FVAs) our objective is </w:t>
      </w:r>
      <w:r w:rsidR="00986994">
        <w:t>simply to demonstrate that our services deliver fair value to our target market.</w:t>
      </w:r>
    </w:p>
    <w:p w14:paraId="1F599904" w14:textId="367591B3" w:rsidR="00C4313B" w:rsidRPr="00C4313B" w:rsidRDefault="00C4313B" w:rsidP="007F0C92">
      <w:pPr>
        <w:rPr>
          <w:u w:val="single"/>
        </w:rPr>
      </w:pPr>
      <w:r w:rsidRPr="00C4313B">
        <w:rPr>
          <w:u w:val="single"/>
        </w:rPr>
        <w:t>SCOPE</w:t>
      </w:r>
    </w:p>
    <w:p w14:paraId="7771D52C" w14:textId="6D241598" w:rsidR="00B005E9" w:rsidRDefault="00126028" w:rsidP="007F0C92">
      <w:r w:rsidRPr="00126028">
        <w:rPr>
          <w:color w:val="EE0000"/>
        </w:rPr>
        <w:t>Firm name</w:t>
      </w:r>
      <w:r w:rsidR="00564216" w:rsidRPr="00126028">
        <w:rPr>
          <w:color w:val="EE0000"/>
        </w:rPr>
        <w:t xml:space="preserve"> </w:t>
      </w:r>
      <w:r w:rsidR="00564216" w:rsidRPr="00564216">
        <w:t>is a firm of independent financial advisers</w:t>
      </w:r>
      <w:r w:rsidR="00564216">
        <w:t xml:space="preserve"> </w:t>
      </w:r>
      <w:r w:rsidR="004B5979">
        <w:t xml:space="preserve">which provides financial planning and mortgage </w:t>
      </w:r>
      <w:r w:rsidR="00946EE1">
        <w:t>advice</w:t>
      </w:r>
      <w:r w:rsidR="004B5979">
        <w:t xml:space="preserve"> services to retail clients.</w:t>
      </w:r>
    </w:p>
    <w:p w14:paraId="49CF6B60" w14:textId="77777777" w:rsidR="004B5979" w:rsidRDefault="004B5979" w:rsidP="007F0C92"/>
    <w:p w14:paraId="685C3DD5" w14:textId="77777777" w:rsidR="004B5979" w:rsidRDefault="004B5979" w:rsidP="007F0C92"/>
    <w:p w14:paraId="4403656F" w14:textId="77777777" w:rsidR="00126028" w:rsidRDefault="00126028" w:rsidP="007F0C92"/>
    <w:p w14:paraId="174A22FF" w14:textId="77777777" w:rsidR="00126028" w:rsidRDefault="00126028" w:rsidP="007F0C92"/>
    <w:p w14:paraId="6CAC48F0" w14:textId="77777777" w:rsidR="00126028" w:rsidRPr="00564216" w:rsidRDefault="00126028" w:rsidP="007F0C92"/>
    <w:p w14:paraId="06D5EA2A" w14:textId="34AF48F9" w:rsidR="007F0C92" w:rsidRPr="00A11059" w:rsidRDefault="00A11059" w:rsidP="00B75685">
      <w:pPr>
        <w:rPr>
          <w:u w:val="single"/>
        </w:rPr>
      </w:pPr>
      <w:r w:rsidRPr="00A11059">
        <w:rPr>
          <w:u w:val="single"/>
        </w:rPr>
        <w:lastRenderedPageBreak/>
        <w:t xml:space="preserve">SERVICES THAT </w:t>
      </w:r>
      <w:r w:rsidR="00D22585">
        <w:rPr>
          <w:u w:val="single"/>
        </w:rPr>
        <w:t>ARE SUBJECT TO</w:t>
      </w:r>
      <w:r w:rsidRPr="00A11059">
        <w:rPr>
          <w:u w:val="single"/>
        </w:rPr>
        <w:t xml:space="preserve"> FVAs</w:t>
      </w:r>
    </w:p>
    <w:tbl>
      <w:tblPr>
        <w:tblStyle w:val="TableGrid"/>
        <w:tblW w:w="0" w:type="auto"/>
        <w:tblLook w:val="04A0" w:firstRow="1" w:lastRow="0" w:firstColumn="1" w:lastColumn="0" w:noHBand="0" w:noVBand="1"/>
      </w:tblPr>
      <w:tblGrid>
        <w:gridCol w:w="3407"/>
        <w:gridCol w:w="3408"/>
        <w:gridCol w:w="3407"/>
      </w:tblGrid>
      <w:tr w:rsidR="007A3F98" w:rsidRPr="00CB5274" w14:paraId="3BE89DD3" w14:textId="5801F2E0" w:rsidTr="00A27C5C">
        <w:tc>
          <w:tcPr>
            <w:tcW w:w="3407" w:type="dxa"/>
          </w:tcPr>
          <w:p w14:paraId="55E6C4AB" w14:textId="74689692" w:rsidR="007A3F98" w:rsidRPr="00CB5274" w:rsidRDefault="007A3F98" w:rsidP="00657AC6">
            <w:pPr>
              <w:rPr>
                <w:b/>
                <w:bCs/>
                <w:sz w:val="18"/>
                <w:szCs w:val="20"/>
              </w:rPr>
            </w:pPr>
            <w:r w:rsidRPr="00CB5274">
              <w:rPr>
                <w:b/>
                <w:bCs/>
                <w:sz w:val="18"/>
                <w:szCs w:val="20"/>
              </w:rPr>
              <w:t>Service</w:t>
            </w:r>
          </w:p>
        </w:tc>
        <w:tc>
          <w:tcPr>
            <w:tcW w:w="3408" w:type="dxa"/>
          </w:tcPr>
          <w:p w14:paraId="1113B3E2" w14:textId="77777777" w:rsidR="007A3F98" w:rsidRPr="00CB5274" w:rsidRDefault="007A3F98" w:rsidP="00657AC6">
            <w:pPr>
              <w:rPr>
                <w:b/>
                <w:bCs/>
                <w:sz w:val="18"/>
                <w:szCs w:val="20"/>
              </w:rPr>
            </w:pPr>
            <w:r w:rsidRPr="00CB5274">
              <w:rPr>
                <w:b/>
                <w:bCs/>
                <w:sz w:val="18"/>
                <w:szCs w:val="20"/>
              </w:rPr>
              <w:t>Target Market</w:t>
            </w:r>
          </w:p>
        </w:tc>
        <w:tc>
          <w:tcPr>
            <w:tcW w:w="3407" w:type="dxa"/>
          </w:tcPr>
          <w:p w14:paraId="17278024" w14:textId="13CA4FC9" w:rsidR="007A3F98" w:rsidRPr="00CB5274" w:rsidRDefault="007A3F98" w:rsidP="00657AC6">
            <w:pPr>
              <w:rPr>
                <w:b/>
                <w:bCs/>
                <w:sz w:val="18"/>
                <w:szCs w:val="20"/>
              </w:rPr>
            </w:pPr>
            <w:r w:rsidRPr="00CB5274">
              <w:rPr>
                <w:b/>
                <w:bCs/>
                <w:sz w:val="18"/>
                <w:szCs w:val="20"/>
              </w:rPr>
              <w:t>Fees and Charges</w:t>
            </w:r>
          </w:p>
        </w:tc>
      </w:tr>
      <w:tr w:rsidR="007A3F98" w:rsidRPr="00CB5274" w14:paraId="3851F137" w14:textId="465E99C5" w:rsidTr="00A27C5C">
        <w:tc>
          <w:tcPr>
            <w:tcW w:w="3407" w:type="dxa"/>
            <w:vMerge w:val="restart"/>
          </w:tcPr>
          <w:p w14:paraId="79C6916C" w14:textId="43C347DA" w:rsidR="007A3F98" w:rsidRPr="00CB5274" w:rsidRDefault="002C3832" w:rsidP="00657AC6">
            <w:pPr>
              <w:rPr>
                <w:sz w:val="18"/>
                <w:szCs w:val="20"/>
              </w:rPr>
            </w:pPr>
            <w:r w:rsidRPr="00CB5274">
              <w:rPr>
                <w:sz w:val="18"/>
                <w:szCs w:val="20"/>
              </w:rPr>
              <w:t>Initial Advice Service (Financial Planning)</w:t>
            </w:r>
          </w:p>
        </w:tc>
        <w:tc>
          <w:tcPr>
            <w:tcW w:w="3408" w:type="dxa"/>
          </w:tcPr>
          <w:p w14:paraId="2B174F82" w14:textId="78A30E92" w:rsidR="007A3F98" w:rsidRPr="00CB5274" w:rsidRDefault="007A3F98" w:rsidP="00657AC6">
            <w:pPr>
              <w:rPr>
                <w:sz w:val="18"/>
                <w:szCs w:val="20"/>
              </w:rPr>
            </w:pPr>
            <w:r w:rsidRPr="00CB5274">
              <w:rPr>
                <w:sz w:val="18"/>
                <w:szCs w:val="20"/>
              </w:rPr>
              <w:t>Any retail client</w:t>
            </w:r>
            <w:r w:rsidR="009E358D" w:rsidRPr="00CB5274">
              <w:rPr>
                <w:sz w:val="18"/>
                <w:szCs w:val="20"/>
              </w:rPr>
              <w:t xml:space="preserve"> requiring the setup of a regular premium pension</w:t>
            </w:r>
          </w:p>
        </w:tc>
        <w:tc>
          <w:tcPr>
            <w:tcW w:w="3407" w:type="dxa"/>
          </w:tcPr>
          <w:p w14:paraId="25EF1052" w14:textId="62D6AE91" w:rsidR="007A3F98" w:rsidRPr="00CB5274" w:rsidRDefault="009E358D" w:rsidP="00657AC6">
            <w:pPr>
              <w:rPr>
                <w:sz w:val="18"/>
                <w:szCs w:val="20"/>
              </w:rPr>
            </w:pPr>
            <w:r w:rsidRPr="00CB5274">
              <w:rPr>
                <w:sz w:val="18"/>
                <w:szCs w:val="20"/>
              </w:rPr>
              <w:t>Typically 70% of the first years’ premiums</w:t>
            </w:r>
          </w:p>
        </w:tc>
      </w:tr>
      <w:tr w:rsidR="007A3F98" w:rsidRPr="00CB5274" w14:paraId="49F23247" w14:textId="427EECAD" w:rsidTr="00A27C5C">
        <w:tc>
          <w:tcPr>
            <w:tcW w:w="3407" w:type="dxa"/>
            <w:vMerge/>
          </w:tcPr>
          <w:p w14:paraId="15FC4692" w14:textId="3EFB7953" w:rsidR="007A3F98" w:rsidRPr="00CB5274" w:rsidRDefault="007A3F98" w:rsidP="00657AC6">
            <w:pPr>
              <w:rPr>
                <w:sz w:val="18"/>
                <w:szCs w:val="20"/>
              </w:rPr>
            </w:pPr>
          </w:p>
        </w:tc>
        <w:tc>
          <w:tcPr>
            <w:tcW w:w="3408" w:type="dxa"/>
          </w:tcPr>
          <w:p w14:paraId="598B2408" w14:textId="3AFDD0B6" w:rsidR="007A3F98" w:rsidRPr="00CB5274" w:rsidRDefault="007A3F98" w:rsidP="00966F87">
            <w:pPr>
              <w:rPr>
                <w:sz w:val="18"/>
                <w:szCs w:val="20"/>
              </w:rPr>
            </w:pPr>
            <w:r w:rsidRPr="00CB5274">
              <w:rPr>
                <w:sz w:val="18"/>
                <w:szCs w:val="20"/>
              </w:rPr>
              <w:t>Any retail client</w:t>
            </w:r>
            <w:r w:rsidR="009E358D" w:rsidRPr="00CB5274">
              <w:rPr>
                <w:sz w:val="18"/>
                <w:szCs w:val="20"/>
              </w:rPr>
              <w:t xml:space="preserve"> requiring a lump sum investment into a pension or investment</w:t>
            </w:r>
          </w:p>
        </w:tc>
        <w:tc>
          <w:tcPr>
            <w:tcW w:w="3407" w:type="dxa"/>
          </w:tcPr>
          <w:p w14:paraId="3F46B986" w14:textId="4A452015" w:rsidR="007A3F98" w:rsidRPr="00CB5274" w:rsidRDefault="009E358D" w:rsidP="009E358D">
            <w:pPr>
              <w:rPr>
                <w:sz w:val="18"/>
                <w:szCs w:val="20"/>
              </w:rPr>
            </w:pPr>
            <w:r w:rsidRPr="00CB5274">
              <w:rPr>
                <w:sz w:val="18"/>
                <w:szCs w:val="20"/>
              </w:rPr>
              <w:t xml:space="preserve">Typically 4% of the lump sum, subject to a minimum charge of </w:t>
            </w:r>
            <w:r w:rsidRPr="00CB5274">
              <w:rPr>
                <w:rFonts w:cs="Arial"/>
                <w:sz w:val="18"/>
                <w:szCs w:val="20"/>
              </w:rPr>
              <w:t>£</w:t>
            </w:r>
            <w:r w:rsidRPr="00CB5274">
              <w:rPr>
                <w:sz w:val="18"/>
                <w:szCs w:val="20"/>
              </w:rPr>
              <w:t>1,500.</w:t>
            </w:r>
          </w:p>
        </w:tc>
      </w:tr>
      <w:tr w:rsidR="007A3F98" w:rsidRPr="00CB5274" w14:paraId="7F221BD3" w14:textId="2C7E63C0" w:rsidTr="00A27C5C">
        <w:tc>
          <w:tcPr>
            <w:tcW w:w="3407" w:type="dxa"/>
            <w:vMerge/>
          </w:tcPr>
          <w:p w14:paraId="1CFB1042" w14:textId="00E0D4E7" w:rsidR="007A3F98" w:rsidRPr="00CB5274" w:rsidRDefault="007A3F98" w:rsidP="000F5745">
            <w:pPr>
              <w:rPr>
                <w:sz w:val="18"/>
                <w:szCs w:val="20"/>
              </w:rPr>
            </w:pPr>
          </w:p>
        </w:tc>
        <w:tc>
          <w:tcPr>
            <w:tcW w:w="3408" w:type="dxa"/>
          </w:tcPr>
          <w:p w14:paraId="58959FD9" w14:textId="5023E475" w:rsidR="007A3F98" w:rsidRPr="00CB5274" w:rsidRDefault="007A3F98" w:rsidP="000F5745">
            <w:pPr>
              <w:rPr>
                <w:sz w:val="18"/>
                <w:szCs w:val="20"/>
              </w:rPr>
            </w:pPr>
            <w:r w:rsidRPr="00CB5274">
              <w:rPr>
                <w:sz w:val="18"/>
                <w:szCs w:val="20"/>
              </w:rPr>
              <w:t>Any retail client</w:t>
            </w:r>
            <w:r w:rsidR="009E358D" w:rsidRPr="00CB5274">
              <w:rPr>
                <w:sz w:val="18"/>
                <w:szCs w:val="20"/>
              </w:rPr>
              <w:t xml:space="preserve"> requiring a pension annuity or similar</w:t>
            </w:r>
          </w:p>
        </w:tc>
        <w:tc>
          <w:tcPr>
            <w:tcW w:w="3407" w:type="dxa"/>
          </w:tcPr>
          <w:p w14:paraId="7A283A73" w14:textId="5A141CCC" w:rsidR="007A3F98" w:rsidRPr="00CB5274" w:rsidRDefault="003D0DDF" w:rsidP="009E358D">
            <w:pPr>
              <w:rPr>
                <w:sz w:val="18"/>
                <w:szCs w:val="20"/>
              </w:rPr>
            </w:pPr>
            <w:r w:rsidRPr="00CB5274">
              <w:rPr>
                <w:sz w:val="18"/>
                <w:szCs w:val="20"/>
              </w:rPr>
              <w:t xml:space="preserve">Typically 3% of the lump sum, subject to a minimum charge of </w:t>
            </w:r>
            <w:r w:rsidRPr="00CB5274">
              <w:rPr>
                <w:rFonts w:cs="Arial"/>
                <w:sz w:val="18"/>
                <w:szCs w:val="20"/>
              </w:rPr>
              <w:t>£</w:t>
            </w:r>
            <w:r w:rsidRPr="00CB5274">
              <w:rPr>
                <w:sz w:val="18"/>
                <w:szCs w:val="20"/>
              </w:rPr>
              <w:t>1,500.</w:t>
            </w:r>
          </w:p>
        </w:tc>
      </w:tr>
      <w:tr w:rsidR="003D0DDF" w:rsidRPr="00CB5274" w14:paraId="7E9FD79E" w14:textId="77777777" w:rsidTr="00F426ED">
        <w:tc>
          <w:tcPr>
            <w:tcW w:w="10222" w:type="dxa"/>
            <w:gridSpan w:val="3"/>
          </w:tcPr>
          <w:p w14:paraId="458AF32D" w14:textId="1F4B29EC" w:rsidR="003D0DDF" w:rsidRPr="00CB5274" w:rsidRDefault="003D0DDF" w:rsidP="006526C4">
            <w:pPr>
              <w:rPr>
                <w:sz w:val="18"/>
                <w:szCs w:val="20"/>
                <w:highlight w:val="yellow"/>
              </w:rPr>
            </w:pPr>
            <w:r w:rsidRPr="00CB5274">
              <w:rPr>
                <w:sz w:val="18"/>
                <w:szCs w:val="20"/>
              </w:rPr>
              <w:t>Ongoing Review Services (Financial Planning):</w:t>
            </w:r>
          </w:p>
        </w:tc>
      </w:tr>
      <w:tr w:rsidR="001A3725" w:rsidRPr="00CB5274" w14:paraId="2C3AE94B" w14:textId="77777777" w:rsidTr="00A27C5C">
        <w:tc>
          <w:tcPr>
            <w:tcW w:w="3407" w:type="dxa"/>
          </w:tcPr>
          <w:p w14:paraId="26B1BDB8" w14:textId="1EDA2D49" w:rsidR="001A3725" w:rsidRPr="00CB5274" w:rsidRDefault="001A3725" w:rsidP="006526C4">
            <w:pPr>
              <w:rPr>
                <w:sz w:val="18"/>
                <w:szCs w:val="20"/>
              </w:rPr>
            </w:pPr>
            <w:r w:rsidRPr="00CB5274">
              <w:rPr>
                <w:sz w:val="18"/>
                <w:szCs w:val="20"/>
              </w:rPr>
              <w:t>Service 1 -</w:t>
            </w:r>
          </w:p>
        </w:tc>
        <w:tc>
          <w:tcPr>
            <w:tcW w:w="3408" w:type="dxa"/>
          </w:tcPr>
          <w:p w14:paraId="0BC7F578" w14:textId="02584990" w:rsidR="001A3725" w:rsidRPr="00CB5274" w:rsidRDefault="003D0DDF" w:rsidP="006526C4">
            <w:pPr>
              <w:rPr>
                <w:sz w:val="18"/>
                <w:szCs w:val="20"/>
                <w:highlight w:val="yellow"/>
              </w:rPr>
            </w:pPr>
            <w:r w:rsidRPr="00CB5274">
              <w:rPr>
                <w:sz w:val="18"/>
                <w:szCs w:val="20"/>
              </w:rPr>
              <w:t>Any retail client</w:t>
            </w:r>
            <w:r w:rsidR="004C0786" w:rsidRPr="00CB5274">
              <w:rPr>
                <w:sz w:val="18"/>
                <w:szCs w:val="20"/>
              </w:rPr>
              <w:t xml:space="preserve"> with funds between </w:t>
            </w:r>
            <w:r w:rsidR="00530BDF" w:rsidRPr="00CB5274">
              <w:rPr>
                <w:rFonts w:cs="Arial"/>
                <w:sz w:val="18"/>
                <w:szCs w:val="20"/>
              </w:rPr>
              <w:t>£</w:t>
            </w:r>
            <w:r w:rsidR="00DE55B8">
              <w:rPr>
                <w:sz w:val="18"/>
                <w:szCs w:val="20"/>
              </w:rPr>
              <w:t>10,000</w:t>
            </w:r>
            <w:r w:rsidR="004C0786" w:rsidRPr="00CB5274">
              <w:rPr>
                <w:sz w:val="18"/>
                <w:szCs w:val="20"/>
              </w:rPr>
              <w:t xml:space="preserve"> and </w:t>
            </w:r>
            <w:r w:rsidR="00530BDF" w:rsidRPr="00CB5274">
              <w:rPr>
                <w:rFonts w:cs="Arial"/>
                <w:sz w:val="18"/>
                <w:szCs w:val="20"/>
              </w:rPr>
              <w:t>£</w:t>
            </w:r>
            <w:r w:rsidR="00530BDF" w:rsidRPr="00CB5274">
              <w:rPr>
                <w:sz w:val="18"/>
                <w:szCs w:val="20"/>
              </w:rPr>
              <w:t>5</w:t>
            </w:r>
            <w:r w:rsidR="00DE55B8">
              <w:rPr>
                <w:sz w:val="18"/>
                <w:szCs w:val="20"/>
              </w:rPr>
              <w:t>0</w:t>
            </w:r>
            <w:r w:rsidR="00530BDF" w:rsidRPr="00CB5274">
              <w:rPr>
                <w:sz w:val="18"/>
                <w:szCs w:val="20"/>
              </w:rPr>
              <w:t>,000</w:t>
            </w:r>
          </w:p>
        </w:tc>
        <w:tc>
          <w:tcPr>
            <w:tcW w:w="3407" w:type="dxa"/>
          </w:tcPr>
          <w:p w14:paraId="1120A3DC" w14:textId="3929A137" w:rsidR="001A3725" w:rsidRPr="00CB5274" w:rsidRDefault="00CD6843" w:rsidP="006526C4">
            <w:pPr>
              <w:rPr>
                <w:sz w:val="18"/>
                <w:szCs w:val="20"/>
              </w:rPr>
            </w:pPr>
            <w:r w:rsidRPr="00CB5274">
              <w:rPr>
                <w:sz w:val="18"/>
                <w:szCs w:val="20"/>
              </w:rPr>
              <w:t xml:space="preserve">4% of the </w:t>
            </w:r>
            <w:r w:rsidR="00DA661D" w:rsidRPr="00CB5274">
              <w:rPr>
                <w:sz w:val="18"/>
                <w:szCs w:val="20"/>
              </w:rPr>
              <w:t>i</w:t>
            </w:r>
            <w:r w:rsidRPr="00CB5274">
              <w:rPr>
                <w:sz w:val="18"/>
                <w:szCs w:val="20"/>
              </w:rPr>
              <w:t>nvestment value (0.75% per annum)</w:t>
            </w:r>
          </w:p>
        </w:tc>
      </w:tr>
      <w:tr w:rsidR="001A3725" w:rsidRPr="00CB5274" w14:paraId="05357F61" w14:textId="77777777" w:rsidTr="00A27C5C">
        <w:tc>
          <w:tcPr>
            <w:tcW w:w="3407" w:type="dxa"/>
          </w:tcPr>
          <w:p w14:paraId="12565C83" w14:textId="00DE80E4" w:rsidR="001A3725" w:rsidRPr="00CB5274" w:rsidRDefault="001A3725" w:rsidP="006526C4">
            <w:pPr>
              <w:rPr>
                <w:sz w:val="18"/>
                <w:szCs w:val="20"/>
              </w:rPr>
            </w:pPr>
            <w:r w:rsidRPr="00CB5274">
              <w:rPr>
                <w:sz w:val="18"/>
                <w:szCs w:val="20"/>
              </w:rPr>
              <w:t xml:space="preserve">Service 2 - </w:t>
            </w:r>
          </w:p>
        </w:tc>
        <w:tc>
          <w:tcPr>
            <w:tcW w:w="3408" w:type="dxa"/>
          </w:tcPr>
          <w:p w14:paraId="1627B96D" w14:textId="07DF74BC" w:rsidR="001A3725" w:rsidRPr="00CB5274" w:rsidRDefault="004500C6" w:rsidP="006526C4">
            <w:pPr>
              <w:rPr>
                <w:sz w:val="18"/>
                <w:szCs w:val="20"/>
                <w:highlight w:val="yellow"/>
              </w:rPr>
            </w:pPr>
            <w:r w:rsidRPr="00CB5274">
              <w:rPr>
                <w:sz w:val="18"/>
                <w:szCs w:val="20"/>
              </w:rPr>
              <w:t>Any retail client</w:t>
            </w:r>
            <w:r w:rsidR="00530BDF" w:rsidRPr="00CB5274">
              <w:rPr>
                <w:sz w:val="18"/>
                <w:szCs w:val="20"/>
              </w:rPr>
              <w:t xml:space="preserve"> with funds between </w:t>
            </w:r>
            <w:r w:rsidR="00530BDF" w:rsidRPr="00CB5274">
              <w:rPr>
                <w:rFonts w:cs="Arial"/>
                <w:sz w:val="18"/>
                <w:szCs w:val="20"/>
              </w:rPr>
              <w:t>£</w:t>
            </w:r>
            <w:r w:rsidR="00530BDF" w:rsidRPr="00CB5274">
              <w:rPr>
                <w:sz w:val="18"/>
                <w:szCs w:val="20"/>
              </w:rPr>
              <w:t>5</w:t>
            </w:r>
            <w:r w:rsidR="00DE55B8">
              <w:rPr>
                <w:sz w:val="18"/>
                <w:szCs w:val="20"/>
              </w:rPr>
              <w:t>0</w:t>
            </w:r>
            <w:r w:rsidR="00530BDF" w:rsidRPr="00CB5274">
              <w:rPr>
                <w:sz w:val="18"/>
                <w:szCs w:val="20"/>
              </w:rPr>
              <w:t>,00</w:t>
            </w:r>
            <w:r w:rsidR="00DE55B8">
              <w:rPr>
                <w:sz w:val="18"/>
                <w:szCs w:val="20"/>
              </w:rPr>
              <w:t>1</w:t>
            </w:r>
            <w:r w:rsidR="00530BDF" w:rsidRPr="00CB5274">
              <w:rPr>
                <w:sz w:val="18"/>
                <w:szCs w:val="20"/>
              </w:rPr>
              <w:t xml:space="preserve"> and </w:t>
            </w:r>
            <w:r w:rsidR="00530BDF" w:rsidRPr="00CB5274">
              <w:rPr>
                <w:rFonts w:cs="Arial"/>
                <w:sz w:val="18"/>
                <w:szCs w:val="20"/>
              </w:rPr>
              <w:t>£</w:t>
            </w:r>
            <w:r w:rsidR="00DE55B8">
              <w:rPr>
                <w:sz w:val="18"/>
                <w:szCs w:val="20"/>
              </w:rPr>
              <w:t>2</w:t>
            </w:r>
            <w:r w:rsidR="00530BDF" w:rsidRPr="00CB5274">
              <w:rPr>
                <w:sz w:val="18"/>
                <w:szCs w:val="20"/>
              </w:rPr>
              <w:t>00,000</w:t>
            </w:r>
          </w:p>
        </w:tc>
        <w:tc>
          <w:tcPr>
            <w:tcW w:w="3407" w:type="dxa"/>
          </w:tcPr>
          <w:p w14:paraId="0D01480B" w14:textId="3DC3B645" w:rsidR="001A3725" w:rsidRPr="00CB5274" w:rsidRDefault="00CD6843" w:rsidP="006526C4">
            <w:pPr>
              <w:rPr>
                <w:sz w:val="18"/>
                <w:szCs w:val="20"/>
              </w:rPr>
            </w:pPr>
            <w:r w:rsidRPr="00CB5274">
              <w:rPr>
                <w:sz w:val="18"/>
                <w:szCs w:val="20"/>
              </w:rPr>
              <w:t>3% of the investment value (0.75%</w:t>
            </w:r>
            <w:r w:rsidR="002A2E98" w:rsidRPr="00CB5274">
              <w:rPr>
                <w:sz w:val="18"/>
                <w:szCs w:val="20"/>
              </w:rPr>
              <w:t xml:space="preserve"> per annum)</w:t>
            </w:r>
          </w:p>
        </w:tc>
      </w:tr>
      <w:tr w:rsidR="009B7240" w:rsidRPr="00CB5274" w14:paraId="7F7DB42D" w14:textId="77777777" w:rsidTr="00A27C5C">
        <w:tc>
          <w:tcPr>
            <w:tcW w:w="3407" w:type="dxa"/>
          </w:tcPr>
          <w:p w14:paraId="1BFC08F8" w14:textId="31F8021B" w:rsidR="009B7240" w:rsidRPr="00CB5274" w:rsidRDefault="004500C6" w:rsidP="006526C4">
            <w:pPr>
              <w:rPr>
                <w:sz w:val="18"/>
                <w:szCs w:val="20"/>
              </w:rPr>
            </w:pPr>
            <w:r w:rsidRPr="00CB5274">
              <w:rPr>
                <w:sz w:val="18"/>
                <w:szCs w:val="20"/>
              </w:rPr>
              <w:t>Service 3 -</w:t>
            </w:r>
          </w:p>
        </w:tc>
        <w:tc>
          <w:tcPr>
            <w:tcW w:w="3408" w:type="dxa"/>
          </w:tcPr>
          <w:p w14:paraId="2EF0C5CC" w14:textId="0F7D399F" w:rsidR="009B7240" w:rsidRPr="00CB5274" w:rsidRDefault="00530BDF" w:rsidP="006526C4">
            <w:pPr>
              <w:rPr>
                <w:sz w:val="18"/>
                <w:szCs w:val="20"/>
                <w:highlight w:val="yellow"/>
              </w:rPr>
            </w:pPr>
            <w:r w:rsidRPr="00CB5274">
              <w:rPr>
                <w:sz w:val="18"/>
                <w:szCs w:val="20"/>
              </w:rPr>
              <w:t xml:space="preserve">Any retail client with funds of </w:t>
            </w:r>
            <w:r w:rsidRPr="00CB5274">
              <w:rPr>
                <w:rFonts w:cs="Arial"/>
                <w:sz w:val="18"/>
                <w:szCs w:val="20"/>
              </w:rPr>
              <w:t>£</w:t>
            </w:r>
            <w:r w:rsidR="00DE55B8">
              <w:rPr>
                <w:sz w:val="18"/>
                <w:szCs w:val="20"/>
              </w:rPr>
              <w:t>2</w:t>
            </w:r>
            <w:r w:rsidRPr="00CB5274">
              <w:rPr>
                <w:sz w:val="18"/>
                <w:szCs w:val="20"/>
              </w:rPr>
              <w:t>00,00</w:t>
            </w:r>
            <w:r w:rsidR="00DE55B8">
              <w:rPr>
                <w:sz w:val="18"/>
                <w:szCs w:val="20"/>
              </w:rPr>
              <w:t>1</w:t>
            </w:r>
            <w:r w:rsidRPr="00CB5274">
              <w:rPr>
                <w:sz w:val="18"/>
                <w:szCs w:val="20"/>
              </w:rPr>
              <w:t xml:space="preserve"> and above</w:t>
            </w:r>
          </w:p>
        </w:tc>
        <w:tc>
          <w:tcPr>
            <w:tcW w:w="3407" w:type="dxa"/>
          </w:tcPr>
          <w:p w14:paraId="65E0E352" w14:textId="7B396CAB" w:rsidR="009B7240" w:rsidRPr="00CB5274" w:rsidRDefault="002A2E98" w:rsidP="006526C4">
            <w:pPr>
              <w:rPr>
                <w:sz w:val="18"/>
                <w:szCs w:val="20"/>
                <w:highlight w:val="yellow"/>
              </w:rPr>
            </w:pPr>
            <w:r w:rsidRPr="00CB5274">
              <w:rPr>
                <w:sz w:val="18"/>
                <w:szCs w:val="20"/>
              </w:rPr>
              <w:t>2% of the investment value (0.6% per annum)</w:t>
            </w:r>
          </w:p>
        </w:tc>
      </w:tr>
      <w:tr w:rsidR="00FD5EEF" w:rsidRPr="00CB5274" w14:paraId="7ED49885" w14:textId="77777777" w:rsidTr="00A27C5C">
        <w:tc>
          <w:tcPr>
            <w:tcW w:w="3407" w:type="dxa"/>
          </w:tcPr>
          <w:p w14:paraId="45F73331" w14:textId="697C85F0" w:rsidR="00FD5EEF" w:rsidRPr="00CB5274" w:rsidRDefault="00FD5EEF" w:rsidP="006526C4">
            <w:pPr>
              <w:rPr>
                <w:sz w:val="18"/>
                <w:szCs w:val="20"/>
              </w:rPr>
            </w:pPr>
            <w:r w:rsidRPr="00CB5274">
              <w:rPr>
                <w:sz w:val="18"/>
                <w:szCs w:val="20"/>
              </w:rPr>
              <w:t>Model Portfolio Service</w:t>
            </w:r>
          </w:p>
        </w:tc>
        <w:tc>
          <w:tcPr>
            <w:tcW w:w="3408" w:type="dxa"/>
          </w:tcPr>
          <w:p w14:paraId="3773AA54" w14:textId="7ACEF018" w:rsidR="008C0D2C" w:rsidRPr="00CB5274" w:rsidRDefault="008C0D2C" w:rsidP="006526C4">
            <w:pPr>
              <w:rPr>
                <w:sz w:val="18"/>
                <w:szCs w:val="20"/>
              </w:rPr>
            </w:pPr>
            <w:r w:rsidRPr="00CB5274">
              <w:rPr>
                <w:sz w:val="18"/>
                <w:szCs w:val="20"/>
              </w:rPr>
              <w:t>Any retail client taking Service 2 and 3 as above.</w:t>
            </w:r>
          </w:p>
        </w:tc>
        <w:tc>
          <w:tcPr>
            <w:tcW w:w="3407" w:type="dxa"/>
          </w:tcPr>
          <w:p w14:paraId="6B5A35F3" w14:textId="4C600DCF" w:rsidR="00FD5EEF" w:rsidRPr="00CB5274" w:rsidRDefault="008C0D2C" w:rsidP="008C0D2C">
            <w:pPr>
              <w:spacing w:before="120" w:after="120"/>
              <w:jc w:val="both"/>
              <w:rPr>
                <w:sz w:val="18"/>
                <w:szCs w:val="20"/>
              </w:rPr>
            </w:pPr>
            <w:r w:rsidRPr="00CB5274">
              <w:rPr>
                <w:rFonts w:cs="Arial"/>
                <w:sz w:val="18"/>
                <w:szCs w:val="20"/>
              </w:rPr>
              <w:t>Typically adds an additional charge of between 0.1%-0.2% to the ongoing fee as detailed above for Services 2 &amp; 3.</w:t>
            </w:r>
          </w:p>
        </w:tc>
      </w:tr>
      <w:tr w:rsidR="008C0D2C" w:rsidRPr="00CB5274" w14:paraId="4329917B" w14:textId="77777777" w:rsidTr="00A27C5C">
        <w:tc>
          <w:tcPr>
            <w:tcW w:w="3407" w:type="dxa"/>
          </w:tcPr>
          <w:p w14:paraId="56728D81" w14:textId="6AFA244F" w:rsidR="008C0D2C" w:rsidRPr="00CB5274" w:rsidRDefault="008C0D2C" w:rsidP="008C0D2C">
            <w:pPr>
              <w:rPr>
                <w:sz w:val="18"/>
                <w:szCs w:val="20"/>
              </w:rPr>
            </w:pPr>
            <w:r w:rsidRPr="00CB5274">
              <w:rPr>
                <w:sz w:val="18"/>
                <w:szCs w:val="20"/>
              </w:rPr>
              <w:t>Transaction Only</w:t>
            </w:r>
            <w:r w:rsidR="000D7CA7">
              <w:rPr>
                <w:sz w:val="18"/>
                <w:szCs w:val="20"/>
              </w:rPr>
              <w:t xml:space="preserve"> (Life Assurance)</w:t>
            </w:r>
          </w:p>
        </w:tc>
        <w:tc>
          <w:tcPr>
            <w:tcW w:w="3408" w:type="dxa"/>
          </w:tcPr>
          <w:p w14:paraId="5DCC95A3" w14:textId="77777777" w:rsidR="008C0D2C" w:rsidRPr="00CB5274" w:rsidRDefault="008C0D2C" w:rsidP="002A2E98">
            <w:pPr>
              <w:rPr>
                <w:sz w:val="18"/>
                <w:szCs w:val="20"/>
              </w:rPr>
            </w:pPr>
            <w:r w:rsidRPr="00CB5274">
              <w:rPr>
                <w:sz w:val="18"/>
                <w:szCs w:val="20"/>
              </w:rPr>
              <w:t>Any retail client requiring an insurance based product</w:t>
            </w:r>
          </w:p>
          <w:p w14:paraId="0364BEE5" w14:textId="77777777" w:rsidR="002A2E98" w:rsidRPr="00CB5274" w:rsidRDefault="002A2E98" w:rsidP="008C0D2C">
            <w:pPr>
              <w:rPr>
                <w:sz w:val="18"/>
                <w:szCs w:val="20"/>
              </w:rPr>
            </w:pPr>
          </w:p>
          <w:p w14:paraId="03AB818E" w14:textId="3B994E7C" w:rsidR="008C0D2C" w:rsidRPr="00CB5274" w:rsidRDefault="008C0D2C" w:rsidP="008C0D2C">
            <w:pPr>
              <w:rPr>
                <w:sz w:val="18"/>
                <w:szCs w:val="20"/>
              </w:rPr>
            </w:pPr>
            <w:r w:rsidRPr="00CB5274">
              <w:rPr>
                <w:sz w:val="18"/>
                <w:szCs w:val="20"/>
              </w:rPr>
              <w:t>Any sum assured</w:t>
            </w:r>
          </w:p>
        </w:tc>
        <w:tc>
          <w:tcPr>
            <w:tcW w:w="3407" w:type="dxa"/>
          </w:tcPr>
          <w:p w14:paraId="5AA8F40D" w14:textId="77777777" w:rsidR="008C0D2C" w:rsidRPr="00CB5274" w:rsidRDefault="008C0D2C" w:rsidP="008C0D2C">
            <w:pPr>
              <w:rPr>
                <w:rFonts w:cs="Arial"/>
                <w:sz w:val="18"/>
                <w:szCs w:val="20"/>
              </w:rPr>
            </w:pPr>
            <w:r w:rsidRPr="00CB5274">
              <w:rPr>
                <w:rFonts w:cs="Arial"/>
                <w:sz w:val="18"/>
                <w:szCs w:val="20"/>
              </w:rPr>
              <w:t>Equal to any commission received from the product provider</w:t>
            </w:r>
          </w:p>
          <w:p w14:paraId="6595E971" w14:textId="2CA7A7BB" w:rsidR="008C0D2C" w:rsidRPr="00CB5274" w:rsidRDefault="008C0D2C" w:rsidP="008C0D2C">
            <w:pPr>
              <w:spacing w:before="120" w:after="120"/>
              <w:jc w:val="both"/>
              <w:rPr>
                <w:rFonts w:cs="Arial"/>
                <w:sz w:val="18"/>
                <w:szCs w:val="20"/>
              </w:rPr>
            </w:pPr>
            <w:r w:rsidRPr="00DE55B8">
              <w:rPr>
                <w:sz w:val="18"/>
                <w:szCs w:val="20"/>
              </w:rPr>
              <w:t>Min Fee</w:t>
            </w:r>
            <w:r w:rsidR="00DE55B8" w:rsidRPr="00DE55B8">
              <w:rPr>
                <w:sz w:val="18"/>
                <w:szCs w:val="20"/>
              </w:rPr>
              <w:t xml:space="preserve"> typically £500</w:t>
            </w:r>
          </w:p>
        </w:tc>
      </w:tr>
      <w:tr w:rsidR="002A2E98" w:rsidRPr="00CB5274" w14:paraId="2FBAE209" w14:textId="77777777" w:rsidTr="00A27C5C">
        <w:tc>
          <w:tcPr>
            <w:tcW w:w="3407" w:type="dxa"/>
          </w:tcPr>
          <w:p w14:paraId="5D373805" w14:textId="48279BE5" w:rsidR="002A2E98" w:rsidRPr="00CB5274" w:rsidRDefault="002A2E98" w:rsidP="008C0D2C">
            <w:pPr>
              <w:rPr>
                <w:sz w:val="18"/>
                <w:szCs w:val="20"/>
              </w:rPr>
            </w:pPr>
            <w:r w:rsidRPr="00CB5274">
              <w:rPr>
                <w:sz w:val="18"/>
                <w:szCs w:val="20"/>
              </w:rPr>
              <w:t>Mortgage Advice</w:t>
            </w:r>
          </w:p>
        </w:tc>
        <w:tc>
          <w:tcPr>
            <w:tcW w:w="3408" w:type="dxa"/>
          </w:tcPr>
          <w:p w14:paraId="2A6CFC72" w14:textId="11AE436C" w:rsidR="002A2E98" w:rsidRPr="00CB5274" w:rsidRDefault="00CB5274" w:rsidP="00CB5274">
            <w:pPr>
              <w:rPr>
                <w:sz w:val="18"/>
                <w:szCs w:val="20"/>
              </w:rPr>
            </w:pPr>
            <w:r w:rsidRPr="00CB5274">
              <w:rPr>
                <w:sz w:val="18"/>
                <w:szCs w:val="20"/>
              </w:rPr>
              <w:t>Any consumer wanted to arrange a standard residential mortgage for house purchase, remortgage or buy to let</w:t>
            </w:r>
          </w:p>
        </w:tc>
        <w:tc>
          <w:tcPr>
            <w:tcW w:w="3407" w:type="dxa"/>
          </w:tcPr>
          <w:p w14:paraId="7ACBBBF4" w14:textId="77777777" w:rsidR="00CB5274" w:rsidRPr="00CB5274" w:rsidRDefault="00CB5274" w:rsidP="00CB5274">
            <w:pPr>
              <w:rPr>
                <w:rFonts w:cs="Arial"/>
                <w:sz w:val="18"/>
                <w:szCs w:val="20"/>
              </w:rPr>
            </w:pPr>
            <w:r w:rsidRPr="00CB5274">
              <w:rPr>
                <w:rFonts w:cs="Arial"/>
                <w:sz w:val="18"/>
                <w:szCs w:val="20"/>
              </w:rPr>
              <w:t>Equal to any commission received from the Lender</w:t>
            </w:r>
          </w:p>
          <w:p w14:paraId="74F6781F" w14:textId="77777777" w:rsidR="00CB5274" w:rsidRPr="00CB5274" w:rsidRDefault="00CB5274" w:rsidP="00CB5274">
            <w:pPr>
              <w:rPr>
                <w:rFonts w:cs="Arial"/>
                <w:sz w:val="18"/>
                <w:szCs w:val="20"/>
              </w:rPr>
            </w:pPr>
          </w:p>
          <w:p w14:paraId="321D7915" w14:textId="2E6B4076" w:rsidR="002A2E98" w:rsidRPr="00CB5274" w:rsidRDefault="00CB5274" w:rsidP="00CB5274">
            <w:pPr>
              <w:rPr>
                <w:rFonts w:cs="Arial"/>
                <w:sz w:val="18"/>
                <w:szCs w:val="20"/>
              </w:rPr>
            </w:pPr>
            <w:r w:rsidRPr="00CB5274">
              <w:rPr>
                <w:sz w:val="18"/>
                <w:szCs w:val="20"/>
              </w:rPr>
              <w:t>£499 advice fee</w:t>
            </w:r>
          </w:p>
        </w:tc>
      </w:tr>
    </w:tbl>
    <w:p w14:paraId="6123F671" w14:textId="77777777" w:rsidR="006526C4" w:rsidRDefault="006526C4" w:rsidP="0069287E">
      <w:pPr>
        <w:tabs>
          <w:tab w:val="left" w:pos="3520"/>
          <w:tab w:val="left" w:pos="6928"/>
          <w:tab w:val="left" w:pos="10335"/>
        </w:tabs>
        <w:ind w:left="113"/>
      </w:pPr>
    </w:p>
    <w:p w14:paraId="659616BD" w14:textId="77777777" w:rsidR="00CB5274" w:rsidRDefault="00CB5274" w:rsidP="0069287E">
      <w:pPr>
        <w:tabs>
          <w:tab w:val="left" w:pos="3520"/>
          <w:tab w:val="left" w:pos="6928"/>
          <w:tab w:val="left" w:pos="10335"/>
        </w:tabs>
        <w:ind w:left="113"/>
      </w:pPr>
    </w:p>
    <w:p w14:paraId="13A0806C" w14:textId="77777777" w:rsidR="00CB5274" w:rsidRDefault="00CB5274" w:rsidP="0069287E">
      <w:pPr>
        <w:tabs>
          <w:tab w:val="left" w:pos="3520"/>
          <w:tab w:val="left" w:pos="6928"/>
          <w:tab w:val="left" w:pos="10335"/>
        </w:tabs>
        <w:ind w:left="113"/>
      </w:pPr>
    </w:p>
    <w:p w14:paraId="164C95B4" w14:textId="105AA6C0" w:rsidR="000E4530" w:rsidRDefault="000E4530" w:rsidP="0069287E">
      <w:pPr>
        <w:tabs>
          <w:tab w:val="left" w:pos="3520"/>
          <w:tab w:val="left" w:pos="6928"/>
          <w:tab w:val="left" w:pos="10335"/>
        </w:tabs>
        <w:ind w:left="113"/>
        <w:rPr>
          <w:u w:val="single"/>
        </w:rPr>
      </w:pPr>
      <w:r w:rsidRPr="002A32AD">
        <w:rPr>
          <w:u w:val="single"/>
        </w:rPr>
        <w:lastRenderedPageBreak/>
        <w:t>FAIR VALUE ASSESSMENT</w:t>
      </w:r>
    </w:p>
    <w:p w14:paraId="16F30CD4" w14:textId="74E81D6E" w:rsidR="00536C52" w:rsidRPr="00FF634B" w:rsidRDefault="00B9337D" w:rsidP="007A3F98">
      <w:pPr>
        <w:tabs>
          <w:tab w:val="left" w:pos="3520"/>
          <w:tab w:val="left" w:pos="6928"/>
          <w:tab w:val="left" w:pos="10335"/>
        </w:tabs>
        <w:ind w:left="113"/>
      </w:pPr>
      <w:r>
        <w:t>We have completed a</w:t>
      </w:r>
      <w:r w:rsidR="004F486D" w:rsidRPr="00E46750">
        <w:t xml:space="preserve"> </w:t>
      </w:r>
      <w:r w:rsidR="00E46750" w:rsidRPr="00E46750">
        <w:t>FVA</w:t>
      </w:r>
      <w:r w:rsidR="004F486D" w:rsidRPr="00E46750">
        <w:t xml:space="preserve"> </w:t>
      </w:r>
      <w:r w:rsidR="00D22585" w:rsidRPr="00E46750">
        <w:t xml:space="preserve">for </w:t>
      </w:r>
      <w:r w:rsidR="007A3F98">
        <w:t xml:space="preserve">the </w:t>
      </w:r>
      <w:r w:rsidR="00D22585" w:rsidRPr="00E46750">
        <w:t xml:space="preserve">service </w:t>
      </w:r>
      <w:r>
        <w:t>list</w:t>
      </w:r>
      <w:r w:rsidR="007A3F98">
        <w:t>ed</w:t>
      </w:r>
      <w:r>
        <w:t xml:space="preserve"> </w:t>
      </w:r>
      <w:r w:rsidR="00DA6AD5" w:rsidRPr="00E46750">
        <w:t>above.</w:t>
      </w:r>
      <w:r w:rsidR="00DA6AD5">
        <w:t xml:space="preserve"> </w:t>
      </w:r>
    </w:p>
    <w:tbl>
      <w:tblPr>
        <w:tblStyle w:val="TableGrid"/>
        <w:tblW w:w="0" w:type="auto"/>
        <w:tblLook w:val="04A0" w:firstRow="1" w:lastRow="0" w:firstColumn="1" w:lastColumn="0" w:noHBand="0" w:noVBand="1"/>
      </w:tblPr>
      <w:tblGrid>
        <w:gridCol w:w="3407"/>
        <w:gridCol w:w="3408"/>
        <w:gridCol w:w="3407"/>
        <w:gridCol w:w="3408"/>
      </w:tblGrid>
      <w:tr w:rsidR="00074BD2" w14:paraId="45C87E57" w14:textId="77777777" w:rsidTr="00401EDC">
        <w:trPr>
          <w:trHeight w:val="500"/>
        </w:trPr>
        <w:tc>
          <w:tcPr>
            <w:tcW w:w="3407" w:type="dxa"/>
          </w:tcPr>
          <w:p w14:paraId="1317D237" w14:textId="07BDEC71" w:rsidR="000E4530" w:rsidRPr="00E01545" w:rsidRDefault="000E4530" w:rsidP="00657AC6">
            <w:pPr>
              <w:rPr>
                <w:b/>
                <w:bCs/>
              </w:rPr>
            </w:pPr>
            <w:r>
              <w:rPr>
                <w:b/>
                <w:bCs/>
              </w:rPr>
              <w:t>Service</w:t>
            </w:r>
          </w:p>
        </w:tc>
        <w:tc>
          <w:tcPr>
            <w:tcW w:w="3408" w:type="dxa"/>
          </w:tcPr>
          <w:p w14:paraId="13E847D3" w14:textId="77777777" w:rsidR="000E4530" w:rsidRPr="00E01545" w:rsidRDefault="000E4530" w:rsidP="00657AC6">
            <w:pPr>
              <w:rPr>
                <w:b/>
                <w:bCs/>
              </w:rPr>
            </w:pPr>
            <w:r>
              <w:rPr>
                <w:b/>
                <w:bCs/>
              </w:rPr>
              <w:t>Target Market</w:t>
            </w:r>
          </w:p>
        </w:tc>
        <w:tc>
          <w:tcPr>
            <w:tcW w:w="3407" w:type="dxa"/>
          </w:tcPr>
          <w:p w14:paraId="511813D6" w14:textId="77777777" w:rsidR="000E4530" w:rsidRDefault="000E4530" w:rsidP="00657AC6">
            <w:pPr>
              <w:rPr>
                <w:b/>
                <w:bCs/>
              </w:rPr>
            </w:pPr>
            <w:r>
              <w:rPr>
                <w:b/>
                <w:bCs/>
              </w:rPr>
              <w:t>Fees and Charges</w:t>
            </w:r>
          </w:p>
        </w:tc>
        <w:tc>
          <w:tcPr>
            <w:tcW w:w="3408" w:type="dxa"/>
          </w:tcPr>
          <w:p w14:paraId="23BDDCB3" w14:textId="334713CD" w:rsidR="000E4530" w:rsidRDefault="00441167" w:rsidP="00657AC6">
            <w:pPr>
              <w:rPr>
                <w:b/>
                <w:bCs/>
              </w:rPr>
            </w:pPr>
            <w:r>
              <w:rPr>
                <w:b/>
                <w:bCs/>
              </w:rPr>
              <w:t>Cost of Delivery</w:t>
            </w:r>
          </w:p>
        </w:tc>
      </w:tr>
      <w:tr w:rsidR="00074BD2" w14:paraId="6FCFFDA5" w14:textId="77777777" w:rsidTr="004F0DE5">
        <w:tc>
          <w:tcPr>
            <w:tcW w:w="3407" w:type="dxa"/>
          </w:tcPr>
          <w:p w14:paraId="37A3BC1A" w14:textId="1190572F" w:rsidR="00441167" w:rsidRDefault="002A2E98" w:rsidP="00441167">
            <w:r>
              <w:t>Initial Advice Service (Financial Planning)</w:t>
            </w:r>
          </w:p>
        </w:tc>
        <w:tc>
          <w:tcPr>
            <w:tcW w:w="3408" w:type="dxa"/>
          </w:tcPr>
          <w:p w14:paraId="1F740BE3" w14:textId="730096B8" w:rsidR="00441167" w:rsidRDefault="001B4F5D" w:rsidP="00A82E27">
            <w:r w:rsidRPr="009E358D">
              <w:t>Any retail client requiring the setup of a regular premium pension</w:t>
            </w:r>
          </w:p>
        </w:tc>
        <w:tc>
          <w:tcPr>
            <w:tcW w:w="3407" w:type="dxa"/>
          </w:tcPr>
          <w:p w14:paraId="41F8C028" w14:textId="235426CD" w:rsidR="0056159F" w:rsidRPr="00401EDC" w:rsidRDefault="001B4F5D" w:rsidP="00401EDC">
            <w:pPr>
              <w:tabs>
                <w:tab w:val="left" w:pos="-720"/>
              </w:tabs>
              <w:suppressAutoHyphens/>
              <w:rPr>
                <w:rFonts w:cs="Tahoma"/>
                <w:spacing w:val="-2"/>
              </w:rPr>
            </w:pPr>
            <w:r w:rsidRPr="009E358D">
              <w:t>Typically 70% of the first years’ premiums</w:t>
            </w:r>
          </w:p>
        </w:tc>
        <w:tc>
          <w:tcPr>
            <w:tcW w:w="3408" w:type="dxa"/>
          </w:tcPr>
          <w:p w14:paraId="7EF09D50" w14:textId="582CE273" w:rsidR="00E34D8B" w:rsidRDefault="00CE7A38" w:rsidP="00E34D8B">
            <w:r>
              <w:t>£</w:t>
            </w:r>
            <w:r w:rsidR="00DE55B8">
              <w:t>1074</w:t>
            </w:r>
            <w:r w:rsidR="001B4F5D">
              <w:t xml:space="preserve"> </w:t>
            </w:r>
            <w:r w:rsidR="00D12487">
              <w:t>(average cost per annum/per client)</w:t>
            </w:r>
          </w:p>
        </w:tc>
      </w:tr>
      <w:tr w:rsidR="00BC0E70" w14:paraId="423A7F2A" w14:textId="77777777" w:rsidTr="004F0DE5">
        <w:tc>
          <w:tcPr>
            <w:tcW w:w="3407" w:type="dxa"/>
          </w:tcPr>
          <w:p w14:paraId="13F8A9FD" w14:textId="151DC025" w:rsidR="00BC0E70" w:rsidRDefault="00BC0E70" w:rsidP="00BC0E70"/>
        </w:tc>
        <w:tc>
          <w:tcPr>
            <w:tcW w:w="3408" w:type="dxa"/>
          </w:tcPr>
          <w:p w14:paraId="459E0E13" w14:textId="16960A81" w:rsidR="00BC0E70" w:rsidRDefault="00BC0E70" w:rsidP="00BC0E70">
            <w:r w:rsidRPr="009E358D">
              <w:t>Any retail client requiring a lump sum investment into a pension or investment</w:t>
            </w:r>
          </w:p>
        </w:tc>
        <w:tc>
          <w:tcPr>
            <w:tcW w:w="3407" w:type="dxa"/>
          </w:tcPr>
          <w:p w14:paraId="5B8ECD76" w14:textId="203A8DF9" w:rsidR="00BC0E70" w:rsidRDefault="00BC0E70" w:rsidP="00BC0E70">
            <w:r w:rsidRPr="009E358D">
              <w:t xml:space="preserve">Typically 4% of the lump sum, subject to a minimum charge of </w:t>
            </w:r>
            <w:r w:rsidRPr="00401EDC">
              <w:rPr>
                <w:rFonts w:cs="Arial"/>
              </w:rPr>
              <w:t>£</w:t>
            </w:r>
            <w:r w:rsidRPr="009E358D">
              <w:t>1,500</w:t>
            </w:r>
          </w:p>
        </w:tc>
        <w:tc>
          <w:tcPr>
            <w:tcW w:w="3408" w:type="dxa"/>
          </w:tcPr>
          <w:p w14:paraId="2D1A0930" w14:textId="524B9CCA" w:rsidR="00BC0E70" w:rsidRDefault="00BC0E70" w:rsidP="00BC0E70">
            <w:r>
              <w:t>£</w:t>
            </w:r>
            <w:r w:rsidR="00DE55B8">
              <w:t>1074</w:t>
            </w:r>
            <w:r>
              <w:t xml:space="preserve"> (average cost per annum/per client)</w:t>
            </w:r>
          </w:p>
          <w:p w14:paraId="106D0A8D" w14:textId="5B298914" w:rsidR="00BC0E70" w:rsidRDefault="00BC0E70" w:rsidP="00BC0E70"/>
        </w:tc>
      </w:tr>
      <w:tr w:rsidR="00BC0E70" w14:paraId="0A1AD3CE" w14:textId="77777777" w:rsidTr="004F0DE5">
        <w:tc>
          <w:tcPr>
            <w:tcW w:w="3407" w:type="dxa"/>
          </w:tcPr>
          <w:p w14:paraId="3274D526" w14:textId="0A84031F" w:rsidR="00BC0E70" w:rsidRDefault="00BC0E70" w:rsidP="00BC0E70"/>
        </w:tc>
        <w:tc>
          <w:tcPr>
            <w:tcW w:w="3408" w:type="dxa"/>
          </w:tcPr>
          <w:p w14:paraId="4721E12E" w14:textId="64CB1AC2" w:rsidR="00BC0E70" w:rsidRDefault="00BC0E70" w:rsidP="00BC0E70">
            <w:r w:rsidRPr="003D0DDF">
              <w:t>Any retail client requiring a pension annuity or similar</w:t>
            </w:r>
          </w:p>
        </w:tc>
        <w:tc>
          <w:tcPr>
            <w:tcW w:w="3407" w:type="dxa"/>
          </w:tcPr>
          <w:p w14:paraId="79C87B66" w14:textId="335271E2" w:rsidR="00BC0E70" w:rsidRDefault="00BC0E70" w:rsidP="00BC0E70">
            <w:r w:rsidRPr="003D0DDF">
              <w:t xml:space="preserve">Typically 3% of the lump sum, subject to a minimum charge of </w:t>
            </w:r>
            <w:r w:rsidRPr="003D0DDF">
              <w:rPr>
                <w:rFonts w:cs="Arial"/>
              </w:rPr>
              <w:t>£</w:t>
            </w:r>
            <w:r w:rsidRPr="003D0DDF">
              <w:t>1,500.</w:t>
            </w:r>
          </w:p>
        </w:tc>
        <w:tc>
          <w:tcPr>
            <w:tcW w:w="3408" w:type="dxa"/>
          </w:tcPr>
          <w:p w14:paraId="0648FD6F" w14:textId="03AEFA20" w:rsidR="00BC0E70" w:rsidRDefault="00BC0E70" w:rsidP="00BC0E70">
            <w:r>
              <w:t>£</w:t>
            </w:r>
            <w:r w:rsidR="00DE55B8">
              <w:t>1691</w:t>
            </w:r>
            <w:r>
              <w:t xml:space="preserve"> (average cost per annum/per client)</w:t>
            </w:r>
          </w:p>
          <w:p w14:paraId="1B32E228" w14:textId="058E4DC5" w:rsidR="00BC0E70" w:rsidRDefault="00BC0E70" w:rsidP="00BC0E70"/>
        </w:tc>
      </w:tr>
      <w:tr w:rsidR="00BC0E70" w14:paraId="061721B5" w14:textId="77777777" w:rsidTr="004F0DE5">
        <w:tc>
          <w:tcPr>
            <w:tcW w:w="3407" w:type="dxa"/>
          </w:tcPr>
          <w:p w14:paraId="51954D51" w14:textId="694223D8" w:rsidR="00BC0E70" w:rsidRDefault="00BC0E70" w:rsidP="00BC0E70">
            <w:r>
              <w:t>Ongoing Review Services (Financial Planning)</w:t>
            </w:r>
          </w:p>
        </w:tc>
        <w:tc>
          <w:tcPr>
            <w:tcW w:w="3408" w:type="dxa"/>
          </w:tcPr>
          <w:p w14:paraId="46941042" w14:textId="46A493F8" w:rsidR="00BC0E70" w:rsidRPr="00401EDC" w:rsidRDefault="00BC0E70" w:rsidP="00BC0E70">
            <w:pPr>
              <w:rPr>
                <w:u w:val="single"/>
              </w:rPr>
            </w:pPr>
            <w:r w:rsidRPr="00401EDC">
              <w:rPr>
                <w:u w:val="single"/>
              </w:rPr>
              <w:t>Service 1</w:t>
            </w:r>
          </w:p>
          <w:p w14:paraId="2386887B" w14:textId="6126F53E" w:rsidR="00BC0E70" w:rsidRDefault="00BC0E70" w:rsidP="00BC0E70">
            <w:r w:rsidRPr="00A97A87">
              <w:t>Any retail client</w:t>
            </w:r>
            <w:r>
              <w:t xml:space="preserve"> with funds between </w:t>
            </w:r>
            <w:r w:rsidRPr="009E358D">
              <w:rPr>
                <w:rFonts w:cs="Arial"/>
              </w:rPr>
              <w:t>£</w:t>
            </w:r>
            <w:r w:rsidR="00DE55B8">
              <w:t>10,000</w:t>
            </w:r>
            <w:r>
              <w:t xml:space="preserve"> and </w:t>
            </w:r>
            <w:r w:rsidRPr="009E358D">
              <w:rPr>
                <w:rFonts w:cs="Arial"/>
              </w:rPr>
              <w:t>£</w:t>
            </w:r>
            <w:r>
              <w:t>5</w:t>
            </w:r>
            <w:r w:rsidR="00DE55B8">
              <w:t>0</w:t>
            </w:r>
            <w:r>
              <w:t>,000</w:t>
            </w:r>
          </w:p>
          <w:p w14:paraId="67C3FA16" w14:textId="20340CEB" w:rsidR="00BC0E70" w:rsidRDefault="00BC0E70" w:rsidP="00BC0E70"/>
        </w:tc>
        <w:tc>
          <w:tcPr>
            <w:tcW w:w="3407" w:type="dxa"/>
          </w:tcPr>
          <w:p w14:paraId="645E10C8" w14:textId="5E9E187C" w:rsidR="00BC0E70" w:rsidRDefault="00BC0E70" w:rsidP="00BC0E70">
            <w:r w:rsidRPr="002A2E98">
              <w:t>4% of the investment value (0.75% per annum)</w:t>
            </w:r>
          </w:p>
        </w:tc>
        <w:tc>
          <w:tcPr>
            <w:tcW w:w="3408" w:type="dxa"/>
          </w:tcPr>
          <w:p w14:paraId="07B6ACFD" w14:textId="0393A8C5" w:rsidR="00BC0E70" w:rsidRDefault="00BC0E70" w:rsidP="00BC0E70">
            <w:r>
              <w:t>£</w:t>
            </w:r>
            <w:r w:rsidR="00DE55B8">
              <w:t>613</w:t>
            </w:r>
            <w:r>
              <w:t xml:space="preserve"> (average cost per annum/per client)</w:t>
            </w:r>
          </w:p>
        </w:tc>
      </w:tr>
      <w:tr w:rsidR="00BC0E70" w14:paraId="7D5A11EE" w14:textId="77777777" w:rsidTr="004F0DE5">
        <w:tc>
          <w:tcPr>
            <w:tcW w:w="3407" w:type="dxa"/>
          </w:tcPr>
          <w:p w14:paraId="26945A7C" w14:textId="77777777" w:rsidR="00BC0E70" w:rsidRDefault="00BC0E70" w:rsidP="00BC0E70"/>
        </w:tc>
        <w:tc>
          <w:tcPr>
            <w:tcW w:w="3408" w:type="dxa"/>
          </w:tcPr>
          <w:p w14:paraId="72C8236E" w14:textId="77777777" w:rsidR="00BC0E70" w:rsidRDefault="00BC0E70" w:rsidP="00BC0E70">
            <w:pPr>
              <w:rPr>
                <w:u w:val="single"/>
              </w:rPr>
            </w:pPr>
            <w:r>
              <w:rPr>
                <w:u w:val="single"/>
              </w:rPr>
              <w:t>Service 2</w:t>
            </w:r>
          </w:p>
          <w:p w14:paraId="246018B9" w14:textId="34812C38" w:rsidR="00BC0E70" w:rsidRPr="00401EDC" w:rsidRDefault="00BC0E70" w:rsidP="00BC0E70">
            <w:pPr>
              <w:rPr>
                <w:u w:val="single"/>
              </w:rPr>
            </w:pPr>
            <w:r w:rsidRPr="00A97A87">
              <w:t>Any retail client</w:t>
            </w:r>
            <w:r>
              <w:t xml:space="preserve"> with funds between </w:t>
            </w:r>
            <w:r w:rsidRPr="009E358D">
              <w:rPr>
                <w:rFonts w:cs="Arial"/>
              </w:rPr>
              <w:t>£</w:t>
            </w:r>
            <w:r>
              <w:t>5</w:t>
            </w:r>
            <w:r w:rsidR="00DE55B8">
              <w:t>0</w:t>
            </w:r>
            <w:r>
              <w:t>,00</w:t>
            </w:r>
            <w:r w:rsidR="00DE55B8">
              <w:t>1</w:t>
            </w:r>
            <w:r>
              <w:t xml:space="preserve"> and </w:t>
            </w:r>
            <w:r w:rsidRPr="009E358D">
              <w:rPr>
                <w:rFonts w:cs="Arial"/>
              </w:rPr>
              <w:t>£</w:t>
            </w:r>
            <w:r w:rsidR="00DE55B8">
              <w:rPr>
                <w:rFonts w:cs="Arial"/>
              </w:rPr>
              <w:t>2</w:t>
            </w:r>
            <w:r>
              <w:t>00,000</w:t>
            </w:r>
          </w:p>
        </w:tc>
        <w:tc>
          <w:tcPr>
            <w:tcW w:w="3407" w:type="dxa"/>
          </w:tcPr>
          <w:p w14:paraId="481359E5" w14:textId="77777777" w:rsidR="00BC0E70" w:rsidRDefault="00BC0E70" w:rsidP="00BC0E70">
            <w:r w:rsidRPr="002A2E98">
              <w:t>3% of the investment value (0.75% per annum)</w:t>
            </w:r>
          </w:p>
          <w:p w14:paraId="07A7CE2A" w14:textId="77777777" w:rsidR="00BC0E70" w:rsidRDefault="00BC0E70" w:rsidP="00BC0E70"/>
          <w:p w14:paraId="15A1243C" w14:textId="0AC7C65A" w:rsidR="00BC0E70" w:rsidRPr="002A2E98" w:rsidRDefault="00BC0E70" w:rsidP="00BC0E70">
            <w:r w:rsidRPr="008C0D2C">
              <w:rPr>
                <w:rFonts w:cs="Arial"/>
                <w:szCs w:val="20"/>
              </w:rPr>
              <w:t>0.1%-0.2%</w:t>
            </w:r>
            <w:r>
              <w:rPr>
                <w:rFonts w:cs="Arial"/>
                <w:szCs w:val="20"/>
              </w:rPr>
              <w:t xml:space="preserve"> of the investment value for model portfolio service</w:t>
            </w:r>
          </w:p>
        </w:tc>
        <w:tc>
          <w:tcPr>
            <w:tcW w:w="3408" w:type="dxa"/>
          </w:tcPr>
          <w:p w14:paraId="686275C7" w14:textId="0E66E5D0" w:rsidR="00BC0E70" w:rsidRDefault="00BC0E70" w:rsidP="00BC0E70">
            <w:r>
              <w:t>£</w:t>
            </w:r>
            <w:r w:rsidR="00DE55B8">
              <w:t>752</w:t>
            </w:r>
            <w:r>
              <w:t xml:space="preserve"> (average cost per annum/per client)</w:t>
            </w:r>
          </w:p>
          <w:p w14:paraId="61F7E005" w14:textId="426ED5C8" w:rsidR="00BC0E70" w:rsidRDefault="00BC0E70" w:rsidP="00BC0E70"/>
        </w:tc>
      </w:tr>
      <w:tr w:rsidR="00BC0E70" w14:paraId="36FCB37D" w14:textId="77777777" w:rsidTr="004F0DE5">
        <w:tc>
          <w:tcPr>
            <w:tcW w:w="3407" w:type="dxa"/>
          </w:tcPr>
          <w:p w14:paraId="5CF45F7E" w14:textId="77777777" w:rsidR="00BC0E70" w:rsidRDefault="00BC0E70" w:rsidP="00BC0E70"/>
        </w:tc>
        <w:tc>
          <w:tcPr>
            <w:tcW w:w="3408" w:type="dxa"/>
          </w:tcPr>
          <w:p w14:paraId="288FEB50" w14:textId="77777777" w:rsidR="00BC0E70" w:rsidRDefault="00BC0E70" w:rsidP="00BC0E70">
            <w:pPr>
              <w:rPr>
                <w:u w:val="single"/>
              </w:rPr>
            </w:pPr>
            <w:r>
              <w:rPr>
                <w:u w:val="single"/>
              </w:rPr>
              <w:t>Service 3</w:t>
            </w:r>
          </w:p>
          <w:p w14:paraId="260052D8" w14:textId="6C489AA1" w:rsidR="00BC0E70" w:rsidRDefault="00BC0E70" w:rsidP="00BC0E70">
            <w:pPr>
              <w:rPr>
                <w:u w:val="single"/>
              </w:rPr>
            </w:pPr>
            <w:r w:rsidRPr="00A97A87">
              <w:t>Any retail client</w:t>
            </w:r>
            <w:r>
              <w:t xml:space="preserve"> with funds of </w:t>
            </w:r>
            <w:r w:rsidRPr="009E358D">
              <w:rPr>
                <w:rFonts w:cs="Arial"/>
              </w:rPr>
              <w:t>£</w:t>
            </w:r>
            <w:r w:rsidR="00DE55B8">
              <w:t>2</w:t>
            </w:r>
            <w:r>
              <w:t>00,00</w:t>
            </w:r>
            <w:r w:rsidR="00DE55B8">
              <w:t>1</w:t>
            </w:r>
            <w:r>
              <w:t xml:space="preserve"> and above</w:t>
            </w:r>
          </w:p>
        </w:tc>
        <w:tc>
          <w:tcPr>
            <w:tcW w:w="3407" w:type="dxa"/>
          </w:tcPr>
          <w:p w14:paraId="603D060C" w14:textId="77777777" w:rsidR="00BC0E70" w:rsidRDefault="00BC0E70" w:rsidP="00BC0E70">
            <w:r>
              <w:t>2</w:t>
            </w:r>
            <w:r w:rsidRPr="002A2E98">
              <w:t>% of the investment value (0.</w:t>
            </w:r>
            <w:r>
              <w:t>6</w:t>
            </w:r>
            <w:r w:rsidRPr="002A2E98">
              <w:t>% per annum)</w:t>
            </w:r>
          </w:p>
          <w:p w14:paraId="333A3C03" w14:textId="77777777" w:rsidR="00BC0E70" w:rsidRDefault="00BC0E70" w:rsidP="00BC0E70"/>
          <w:p w14:paraId="7576FBC9" w14:textId="38E13388" w:rsidR="00BC0E70" w:rsidRPr="002A2E98" w:rsidRDefault="00BC0E70" w:rsidP="00BC0E70">
            <w:r>
              <w:t>0</w:t>
            </w:r>
            <w:r w:rsidRPr="008C0D2C">
              <w:rPr>
                <w:rFonts w:cs="Arial"/>
                <w:szCs w:val="20"/>
              </w:rPr>
              <w:t>.1%-0.2%</w:t>
            </w:r>
            <w:r>
              <w:rPr>
                <w:rFonts w:cs="Arial"/>
                <w:szCs w:val="20"/>
              </w:rPr>
              <w:t xml:space="preserve"> of the investment value for model portfolio service</w:t>
            </w:r>
          </w:p>
        </w:tc>
        <w:tc>
          <w:tcPr>
            <w:tcW w:w="3408" w:type="dxa"/>
          </w:tcPr>
          <w:p w14:paraId="70A64D9F" w14:textId="0C4A516F" w:rsidR="00BC0E70" w:rsidRDefault="00BC0E70" w:rsidP="00BC0E70">
            <w:r>
              <w:t>£</w:t>
            </w:r>
            <w:r w:rsidR="00DE55B8">
              <w:t>1053</w:t>
            </w:r>
            <w:r>
              <w:t xml:space="preserve"> (average cost per annum/per client)</w:t>
            </w:r>
          </w:p>
        </w:tc>
      </w:tr>
      <w:tr w:rsidR="00520D79" w14:paraId="2B7A24FB" w14:textId="77777777" w:rsidTr="004F0DE5">
        <w:tc>
          <w:tcPr>
            <w:tcW w:w="3407" w:type="dxa"/>
          </w:tcPr>
          <w:p w14:paraId="4848F731" w14:textId="0A1D01F0" w:rsidR="00520D79" w:rsidRDefault="00520D79" w:rsidP="000D2504">
            <w:r>
              <w:t>Transaction Only</w:t>
            </w:r>
            <w:r w:rsidR="000D7CA7">
              <w:t xml:space="preserve"> (Life Assurance)</w:t>
            </w:r>
          </w:p>
        </w:tc>
        <w:tc>
          <w:tcPr>
            <w:tcW w:w="3408" w:type="dxa"/>
          </w:tcPr>
          <w:p w14:paraId="323FFC3A" w14:textId="158B7F9E" w:rsidR="00520D79" w:rsidRPr="00520D79" w:rsidRDefault="00520D79" w:rsidP="00520D79">
            <w:r w:rsidRPr="00307D2E">
              <w:t>Any retail client requiring an insurance based product</w:t>
            </w:r>
            <w:r>
              <w:t xml:space="preserve"> / </w:t>
            </w:r>
            <w:r w:rsidRPr="00307D2E">
              <w:t>Any sum assured</w:t>
            </w:r>
          </w:p>
        </w:tc>
        <w:tc>
          <w:tcPr>
            <w:tcW w:w="3407" w:type="dxa"/>
          </w:tcPr>
          <w:p w14:paraId="44AF04E0" w14:textId="77777777" w:rsidR="00520D79" w:rsidRPr="00DE55B8" w:rsidRDefault="00520D79" w:rsidP="00520D79">
            <w:pPr>
              <w:rPr>
                <w:rFonts w:cs="Arial"/>
                <w:szCs w:val="20"/>
              </w:rPr>
            </w:pPr>
            <w:r>
              <w:rPr>
                <w:rFonts w:cs="Arial"/>
                <w:szCs w:val="20"/>
              </w:rPr>
              <w:t>E</w:t>
            </w:r>
            <w:r w:rsidRPr="00063A97">
              <w:rPr>
                <w:rFonts w:cs="Arial"/>
                <w:szCs w:val="20"/>
              </w:rPr>
              <w:t>qual to any commission receive</w:t>
            </w:r>
            <w:r>
              <w:rPr>
                <w:rFonts w:cs="Arial"/>
                <w:szCs w:val="20"/>
              </w:rPr>
              <w:t>d</w:t>
            </w:r>
            <w:r w:rsidRPr="00063A97">
              <w:rPr>
                <w:rFonts w:cs="Arial"/>
                <w:szCs w:val="20"/>
              </w:rPr>
              <w:t xml:space="preserve"> from the product provi</w:t>
            </w:r>
            <w:r w:rsidRPr="00DE55B8">
              <w:rPr>
                <w:rFonts w:cs="Arial"/>
                <w:szCs w:val="20"/>
              </w:rPr>
              <w:t>der</w:t>
            </w:r>
          </w:p>
          <w:p w14:paraId="5BBC0659" w14:textId="7792F167" w:rsidR="00520D79" w:rsidRDefault="00520D79" w:rsidP="00520D79">
            <w:r w:rsidRPr="00DE55B8">
              <w:t>Min Fee</w:t>
            </w:r>
            <w:r w:rsidR="00DE55B8" w:rsidRPr="00DE55B8">
              <w:t xml:space="preserve"> typically £500</w:t>
            </w:r>
          </w:p>
        </w:tc>
        <w:tc>
          <w:tcPr>
            <w:tcW w:w="3408" w:type="dxa"/>
          </w:tcPr>
          <w:p w14:paraId="574C76E5" w14:textId="7F69630D" w:rsidR="00520D79" w:rsidRDefault="00520D79" w:rsidP="00C41DA0">
            <w:r>
              <w:t>£</w:t>
            </w:r>
            <w:r w:rsidR="00DE55B8">
              <w:t>1074</w:t>
            </w:r>
            <w:r>
              <w:t xml:space="preserve"> (average cost per annum/per client)</w:t>
            </w:r>
          </w:p>
        </w:tc>
      </w:tr>
      <w:tr w:rsidR="00520D79" w14:paraId="37DE1B8F" w14:textId="77777777" w:rsidTr="004F0DE5">
        <w:tc>
          <w:tcPr>
            <w:tcW w:w="3407" w:type="dxa"/>
          </w:tcPr>
          <w:p w14:paraId="36C6D56D" w14:textId="1BF668FE" w:rsidR="00520D79" w:rsidRDefault="00566386" w:rsidP="000D2504">
            <w:r>
              <w:lastRenderedPageBreak/>
              <w:t>Mortgage Advice</w:t>
            </w:r>
          </w:p>
        </w:tc>
        <w:tc>
          <w:tcPr>
            <w:tcW w:w="3408" w:type="dxa"/>
          </w:tcPr>
          <w:p w14:paraId="04F68F9E" w14:textId="0F71B52F" w:rsidR="00520D79" w:rsidRPr="00307D2E" w:rsidRDefault="00566386" w:rsidP="00520D79">
            <w:r>
              <w:t>Any consumer wanted to arrange a standard residential mortgage for house purchase, remortgage or buy to let</w:t>
            </w:r>
          </w:p>
        </w:tc>
        <w:tc>
          <w:tcPr>
            <w:tcW w:w="3407" w:type="dxa"/>
          </w:tcPr>
          <w:p w14:paraId="53DB2543" w14:textId="77777777" w:rsidR="00520D79" w:rsidRDefault="00566386" w:rsidP="00520D79">
            <w:pPr>
              <w:rPr>
                <w:rFonts w:cs="Arial"/>
                <w:szCs w:val="20"/>
              </w:rPr>
            </w:pPr>
            <w:r>
              <w:rPr>
                <w:rFonts w:cs="Arial"/>
                <w:szCs w:val="20"/>
              </w:rPr>
              <w:t>Equal to any commission received from the Lender</w:t>
            </w:r>
          </w:p>
          <w:p w14:paraId="46323BF2" w14:textId="77777777" w:rsidR="00566386" w:rsidRDefault="00566386" w:rsidP="00520D79">
            <w:pPr>
              <w:rPr>
                <w:rFonts w:cs="Arial"/>
                <w:szCs w:val="20"/>
              </w:rPr>
            </w:pPr>
          </w:p>
          <w:p w14:paraId="01F04BC9" w14:textId="4436E7C5" w:rsidR="00566386" w:rsidRDefault="00566386" w:rsidP="00520D79">
            <w:pPr>
              <w:rPr>
                <w:rFonts w:cs="Arial"/>
                <w:szCs w:val="20"/>
              </w:rPr>
            </w:pPr>
            <w:r>
              <w:t>£499 advice fee</w:t>
            </w:r>
          </w:p>
        </w:tc>
        <w:tc>
          <w:tcPr>
            <w:tcW w:w="3408" w:type="dxa"/>
          </w:tcPr>
          <w:p w14:paraId="7A981803" w14:textId="10BA61D3" w:rsidR="00520D79" w:rsidRDefault="00566386" w:rsidP="00C41DA0">
            <w:r>
              <w:t>£</w:t>
            </w:r>
            <w:r w:rsidR="00DE55B8">
              <w:t>1692</w:t>
            </w:r>
            <w:r>
              <w:t xml:space="preserve"> (average cost per client)</w:t>
            </w:r>
          </w:p>
        </w:tc>
      </w:tr>
    </w:tbl>
    <w:p w14:paraId="350DECCB" w14:textId="77777777" w:rsidR="002A2E98" w:rsidRDefault="002A2E98">
      <w:pPr>
        <w:spacing w:line="259" w:lineRule="auto"/>
        <w:rPr>
          <w:u w:val="single"/>
        </w:rPr>
      </w:pPr>
    </w:p>
    <w:tbl>
      <w:tblPr>
        <w:tblStyle w:val="TableGrid"/>
        <w:tblW w:w="0" w:type="auto"/>
        <w:tblLook w:val="04A0" w:firstRow="1" w:lastRow="0" w:firstColumn="1" w:lastColumn="0" w:noHBand="0" w:noVBand="1"/>
      </w:tblPr>
      <w:tblGrid>
        <w:gridCol w:w="3639"/>
        <w:gridCol w:w="9991"/>
      </w:tblGrid>
      <w:tr w:rsidR="002A2E98" w14:paraId="65C2D183" w14:textId="77777777" w:rsidTr="000C35DA">
        <w:tc>
          <w:tcPr>
            <w:tcW w:w="13630" w:type="dxa"/>
            <w:gridSpan w:val="2"/>
          </w:tcPr>
          <w:p w14:paraId="7241EA34" w14:textId="77777777" w:rsidR="002A2E98" w:rsidRDefault="002A2E98" w:rsidP="000C35DA">
            <w:r>
              <w:rPr>
                <w:b/>
                <w:bCs/>
              </w:rPr>
              <w:t>Service</w:t>
            </w:r>
            <w:r w:rsidRPr="00354A7E">
              <w:rPr>
                <w:b/>
                <w:bCs/>
              </w:rPr>
              <w:t xml:space="preserve"> Features and Benefits</w:t>
            </w:r>
          </w:p>
        </w:tc>
      </w:tr>
      <w:tr w:rsidR="002A2E98" w14:paraId="745A7401" w14:textId="77777777" w:rsidTr="000C35DA">
        <w:tc>
          <w:tcPr>
            <w:tcW w:w="13630" w:type="dxa"/>
            <w:gridSpan w:val="2"/>
          </w:tcPr>
          <w:p w14:paraId="44046C1F" w14:textId="77777777" w:rsidR="000D7CA7" w:rsidRPr="000D7CA7" w:rsidRDefault="000D7CA7" w:rsidP="000C35DA">
            <w:pPr>
              <w:rPr>
                <w:u w:val="single"/>
              </w:rPr>
            </w:pPr>
            <w:r w:rsidRPr="000D7CA7">
              <w:rPr>
                <w:u w:val="single"/>
              </w:rPr>
              <w:t>Financial Planning</w:t>
            </w:r>
          </w:p>
          <w:p w14:paraId="47277561" w14:textId="3E5D0C49" w:rsidR="002A2E98" w:rsidRDefault="00CB5274" w:rsidP="000C35DA">
            <w:r>
              <w:t>Our services are</w:t>
            </w:r>
            <w:r w:rsidR="002A2E98">
              <w:t xml:space="preserve"> designed for </w:t>
            </w:r>
            <w:r w:rsidR="003A738E">
              <w:t xml:space="preserve">retail </w:t>
            </w:r>
            <w:r w:rsidR="002A2E98">
              <w:t>clients with varying levels of both attitude to risk and capacity for loss</w:t>
            </w:r>
            <w:r w:rsidR="00942E0D">
              <w:t xml:space="preserve">.  Our CIP is </w:t>
            </w:r>
            <w:r w:rsidR="002A2E98" w:rsidRPr="00072963">
              <w:t>managed by our Investment Committee</w:t>
            </w:r>
            <w:r w:rsidR="00942E0D">
              <w:t xml:space="preserve"> (see PROD information)</w:t>
            </w:r>
            <w:r w:rsidR="002A2E98" w:rsidRPr="00072963">
              <w:t xml:space="preserve">. Asset allocation is used to align to client risk profiles.  </w:t>
            </w:r>
            <w:r w:rsidR="00F477CA">
              <w:t>The firm provides an independent service.</w:t>
            </w:r>
          </w:p>
          <w:p w14:paraId="17EE46ED" w14:textId="77777777" w:rsidR="00F178F3" w:rsidRDefault="00F178F3" w:rsidP="000C35DA"/>
          <w:p w14:paraId="6A88F162" w14:textId="36E69CF4" w:rsidR="003A738E" w:rsidRPr="00555882" w:rsidRDefault="00F178F3" w:rsidP="000C35DA">
            <w:pPr>
              <w:rPr>
                <w:u w:val="single"/>
              </w:rPr>
            </w:pPr>
            <w:r w:rsidRPr="00555882">
              <w:rPr>
                <w:u w:val="single"/>
              </w:rPr>
              <w:t>Transaction Only (Life Assurance</w:t>
            </w:r>
            <w:r w:rsidR="00555882" w:rsidRPr="00555882">
              <w:rPr>
                <w:u w:val="single"/>
              </w:rPr>
              <w:t>)</w:t>
            </w:r>
          </w:p>
          <w:p w14:paraId="148C0CCA" w14:textId="67E2F826" w:rsidR="00F477CA" w:rsidRDefault="00555882" w:rsidP="000C35DA">
            <w:r>
              <w:t xml:space="preserve">The cheapest </w:t>
            </w:r>
            <w:r w:rsidR="006F1007">
              <w:t>monthly premium is recommended unless this is</w:t>
            </w:r>
            <w:r w:rsidR="000C2729">
              <w:t xml:space="preserve"> at odds with the client requirements.  This product is sourced using </w:t>
            </w:r>
            <w:r w:rsidR="00DE55B8">
              <w:t>IRESS</w:t>
            </w:r>
            <w:r w:rsidR="000C2729">
              <w:t>.</w:t>
            </w:r>
          </w:p>
          <w:p w14:paraId="15655370" w14:textId="77777777" w:rsidR="00F178F3" w:rsidRDefault="00F178F3" w:rsidP="000C35DA"/>
          <w:p w14:paraId="5BCD0206" w14:textId="0AD58C27" w:rsidR="00F178F3" w:rsidRPr="00DF262E" w:rsidRDefault="00F178F3" w:rsidP="000C35DA">
            <w:pPr>
              <w:rPr>
                <w:u w:val="single"/>
              </w:rPr>
            </w:pPr>
            <w:r w:rsidRPr="00DF262E">
              <w:rPr>
                <w:u w:val="single"/>
              </w:rPr>
              <w:t>Mortgages</w:t>
            </w:r>
          </w:p>
          <w:p w14:paraId="7DEC7BE8" w14:textId="16C7A0C1" w:rsidR="000D7CA7" w:rsidRPr="002E6782" w:rsidRDefault="00E02637" w:rsidP="000C35DA">
            <w:r>
              <w:t>The cheapest mortgage is recommended to the client based on their requirements</w:t>
            </w:r>
            <w:r w:rsidR="007F1B86">
              <w:t xml:space="preserve">.  Cheapest can mean over a period of time, cheapest interest rate, cheapest monthly payment, total cost inclusive of fees.  This will be defined as part of the KYC exercise and applied when sourcing the product using </w:t>
            </w:r>
            <w:r w:rsidR="00DE55B8">
              <w:t>MBL</w:t>
            </w:r>
            <w:r w:rsidR="007F1B86">
              <w:t>.</w:t>
            </w:r>
          </w:p>
        </w:tc>
      </w:tr>
      <w:tr w:rsidR="002A2E98" w14:paraId="11926A4A" w14:textId="77777777" w:rsidTr="000C35DA">
        <w:tc>
          <w:tcPr>
            <w:tcW w:w="13630" w:type="dxa"/>
            <w:gridSpan w:val="2"/>
          </w:tcPr>
          <w:p w14:paraId="4D214CF6" w14:textId="77777777" w:rsidR="002A2E98" w:rsidRDefault="002A2E98" w:rsidP="000C35DA">
            <w:r>
              <w:rPr>
                <w:b/>
                <w:bCs/>
              </w:rPr>
              <w:t>Fees and Charges</w:t>
            </w:r>
          </w:p>
        </w:tc>
      </w:tr>
      <w:tr w:rsidR="002A2E98" w14:paraId="736868CF" w14:textId="77777777" w:rsidTr="000C35DA">
        <w:tc>
          <w:tcPr>
            <w:tcW w:w="13630" w:type="dxa"/>
            <w:gridSpan w:val="2"/>
          </w:tcPr>
          <w:p w14:paraId="39044218" w14:textId="7D9C6DD0" w:rsidR="002A2E98" w:rsidRDefault="002A2E98" w:rsidP="000C35DA">
            <w:r>
              <w:t xml:space="preserve">When benchmarked across the industry, the total fees and charges is comparable. Our </w:t>
            </w:r>
            <w:r w:rsidR="007F1B86">
              <w:t>services are</w:t>
            </w:r>
            <w:r>
              <w:t xml:space="preserve"> in line with firms of a similar size and business model. For the </w:t>
            </w:r>
            <w:r w:rsidR="00826BA7">
              <w:t>advice charge levied</w:t>
            </w:r>
            <w:r>
              <w:t xml:space="preserve">, the client receives a formal assessment of suitability, </w:t>
            </w:r>
            <w:r w:rsidRPr="00072963">
              <w:t>generally delivered face-2-face, when KYC, risk profiles, objectives and cashflow</w:t>
            </w:r>
            <w:r w:rsidR="00826BA7">
              <w:t xml:space="preserve"> (where appropriate)</w:t>
            </w:r>
            <w:r w:rsidRPr="00072963">
              <w:t xml:space="preserve"> are fully reviewed, and following which a full </w:t>
            </w:r>
            <w:r w:rsidR="00826BA7">
              <w:t>Suitability Report</w:t>
            </w:r>
            <w:r w:rsidRPr="00072963">
              <w:t xml:space="preserve"> is issued.</w:t>
            </w:r>
            <w:r>
              <w:t xml:space="preserve"> The </w:t>
            </w:r>
            <w:r w:rsidR="00942E0D">
              <w:t>advice</w:t>
            </w:r>
            <w:r>
              <w:t xml:space="preserve"> team are always available to take client questions or respond to concerns.</w:t>
            </w:r>
          </w:p>
        </w:tc>
      </w:tr>
      <w:tr w:rsidR="002A2E98" w14:paraId="4AE7AD9E" w14:textId="77777777" w:rsidTr="000C35DA">
        <w:tc>
          <w:tcPr>
            <w:tcW w:w="13630" w:type="dxa"/>
            <w:gridSpan w:val="2"/>
          </w:tcPr>
          <w:p w14:paraId="0789C217" w14:textId="77777777" w:rsidR="002A2E98" w:rsidRPr="00DE55B8" w:rsidRDefault="002A2E98" w:rsidP="000C35DA">
            <w:r w:rsidRPr="00DE55B8">
              <w:rPr>
                <w:b/>
                <w:bCs/>
              </w:rPr>
              <w:t>Performance</w:t>
            </w:r>
            <w:r w:rsidRPr="00DE55B8">
              <w:t xml:space="preserve"> </w:t>
            </w:r>
          </w:p>
        </w:tc>
      </w:tr>
      <w:tr w:rsidR="002A2E98" w14:paraId="523867FE" w14:textId="77777777" w:rsidTr="000C35DA">
        <w:tc>
          <w:tcPr>
            <w:tcW w:w="13630" w:type="dxa"/>
            <w:gridSpan w:val="2"/>
          </w:tcPr>
          <w:p w14:paraId="08E8E75E" w14:textId="4D30F31B" w:rsidR="00062913" w:rsidRPr="00DE55B8" w:rsidRDefault="002A2E98" w:rsidP="000C35DA">
            <w:r w:rsidRPr="00DE55B8">
              <w:t xml:space="preserve">Performance </w:t>
            </w:r>
            <w:r w:rsidR="00AB6A01" w:rsidRPr="00DE55B8">
              <w:t>of our CIP o</w:t>
            </w:r>
            <w:r w:rsidRPr="00DE55B8">
              <w:t xml:space="preserve">ver 1, 3 and 5 years has been unexceptional </w:t>
            </w:r>
            <w:r w:rsidR="00DE55B8" w:rsidRPr="00DE55B8">
              <w:t>and</w:t>
            </w:r>
            <w:r w:rsidRPr="00DE55B8">
              <w:t xml:space="preserve"> in line with industry benchmarks (see separate data) and in line with the objectives of the portfolio. Portfolio performance (excluding new contributions) exceeds the total fees paid by the client for all FUM amounts. Net growth after fees and charges exceeds inflation over the 5 year period, although there was one year in this period where growth was less than inflation.</w:t>
            </w:r>
          </w:p>
          <w:p w14:paraId="35E22989" w14:textId="77777777" w:rsidR="0011129F" w:rsidRPr="00DE55B8" w:rsidRDefault="0011129F" w:rsidP="000C35DA"/>
          <w:p w14:paraId="44DB6A60" w14:textId="77777777" w:rsidR="0011129F" w:rsidRPr="00DE55B8" w:rsidRDefault="0011129F" w:rsidP="000C35DA"/>
          <w:p w14:paraId="34FC6841" w14:textId="0AF8118D" w:rsidR="0011129F" w:rsidRPr="00DE55B8" w:rsidRDefault="0011129F" w:rsidP="000C35DA"/>
        </w:tc>
      </w:tr>
      <w:tr w:rsidR="002A2E98" w14:paraId="19774A7D" w14:textId="77777777" w:rsidTr="000C35DA">
        <w:tc>
          <w:tcPr>
            <w:tcW w:w="13630" w:type="dxa"/>
            <w:gridSpan w:val="2"/>
          </w:tcPr>
          <w:p w14:paraId="58FA6811" w14:textId="77777777" w:rsidR="002A2E98" w:rsidRPr="00331D01" w:rsidRDefault="002A2E98" w:rsidP="000C35DA">
            <w:pPr>
              <w:rPr>
                <w:b/>
                <w:bCs/>
              </w:rPr>
            </w:pPr>
            <w:r w:rsidRPr="00331D01">
              <w:rPr>
                <w:b/>
                <w:bCs/>
              </w:rPr>
              <w:lastRenderedPageBreak/>
              <w:t>Cost of Delivery</w:t>
            </w:r>
          </w:p>
        </w:tc>
      </w:tr>
      <w:tr w:rsidR="002A2E98" w14:paraId="02B288A8" w14:textId="77777777" w:rsidTr="000C35DA">
        <w:tc>
          <w:tcPr>
            <w:tcW w:w="13630" w:type="dxa"/>
            <w:gridSpan w:val="2"/>
          </w:tcPr>
          <w:p w14:paraId="29678052" w14:textId="1F086568" w:rsidR="00563BD8" w:rsidRPr="0048671E" w:rsidRDefault="0048671E" w:rsidP="0048671E">
            <w:pPr>
              <w:rPr>
                <w:color w:val="EE0000"/>
              </w:rPr>
            </w:pPr>
            <w:r w:rsidRPr="00BD7763">
              <w:t xml:space="preserve">Appendix 1 below shows the </w:t>
            </w:r>
            <w:r w:rsidR="00BD7763" w:rsidRPr="00BD7763">
              <w:t>cost of deliver for both initial and ongoing services.  Each has been broken down based on complexity (i.e. simple, moderate and complex)</w:t>
            </w:r>
            <w:r w:rsidR="0011129F">
              <w:t xml:space="preserve">, with </w:t>
            </w:r>
            <w:r w:rsidR="00C748CC">
              <w:t xml:space="preserve">a complexity weighting </w:t>
            </w:r>
            <w:r w:rsidR="0011129F">
              <w:t xml:space="preserve">applied </w:t>
            </w:r>
            <w:r w:rsidR="00C748CC">
              <w:t>for both moder</w:t>
            </w:r>
            <w:r w:rsidR="009C1BD6">
              <w:t xml:space="preserve">ate and complex cases.  </w:t>
            </w:r>
            <w:r w:rsidR="00BD7763" w:rsidRPr="00BD7763">
              <w:t xml:space="preserve">Our interpretation of these labels has been documented </w:t>
            </w:r>
            <w:r w:rsidR="00DE55B8">
              <w:t>with the help of our external compliance support</w:t>
            </w:r>
            <w:r w:rsidR="00BD7763">
              <w:rPr>
                <w:color w:val="EE0000"/>
              </w:rPr>
              <w:t>.</w:t>
            </w:r>
            <w:r w:rsidRPr="0048671E">
              <w:rPr>
                <w:color w:val="EE0000"/>
              </w:rPr>
              <w:t xml:space="preserve"> </w:t>
            </w:r>
            <w:r w:rsidR="009C1BD6">
              <w:rPr>
                <w:color w:val="EE0000"/>
              </w:rPr>
              <w:t xml:space="preserve">  </w:t>
            </w:r>
            <w:r w:rsidR="009C1BD6" w:rsidRPr="009C1BD6">
              <w:t>We have applied a profit margin of 30% across the board in line with our business strategy.</w:t>
            </w:r>
          </w:p>
        </w:tc>
      </w:tr>
      <w:tr w:rsidR="002A2E98" w14:paraId="7DFEFAA5" w14:textId="77777777" w:rsidTr="000C35DA">
        <w:tc>
          <w:tcPr>
            <w:tcW w:w="13630" w:type="dxa"/>
            <w:gridSpan w:val="2"/>
          </w:tcPr>
          <w:p w14:paraId="163157B8" w14:textId="77777777" w:rsidR="002A2E98" w:rsidRPr="00D35E35" w:rsidRDefault="002A2E98" w:rsidP="000C35DA">
            <w:pPr>
              <w:rPr>
                <w:b/>
                <w:bCs/>
              </w:rPr>
            </w:pPr>
            <w:r w:rsidRPr="00D35E35">
              <w:rPr>
                <w:b/>
                <w:bCs/>
              </w:rPr>
              <w:t>Client Feedback</w:t>
            </w:r>
          </w:p>
        </w:tc>
      </w:tr>
      <w:tr w:rsidR="002A2E98" w14:paraId="41E547AC" w14:textId="77777777" w:rsidTr="000C35DA">
        <w:tc>
          <w:tcPr>
            <w:tcW w:w="13630" w:type="dxa"/>
            <w:gridSpan w:val="2"/>
          </w:tcPr>
          <w:p w14:paraId="39E283C1" w14:textId="63A1D57E" w:rsidR="002A2E98" w:rsidRDefault="002A2E98" w:rsidP="000C35DA">
            <w:r>
              <w:t xml:space="preserve">Client feedback demonstrates </w:t>
            </w:r>
            <w:r w:rsidR="00DE55B8">
              <w:t>satisfied or very satisfied outcomes evidenced by this being expressed by clients and the continued personal introductions that we receive from existing clients.</w:t>
            </w:r>
          </w:p>
        </w:tc>
      </w:tr>
      <w:tr w:rsidR="002A2E98" w14:paraId="30793381" w14:textId="77777777" w:rsidTr="000C35DA">
        <w:tc>
          <w:tcPr>
            <w:tcW w:w="13630" w:type="dxa"/>
            <w:gridSpan w:val="2"/>
          </w:tcPr>
          <w:p w14:paraId="13FB730B" w14:textId="77777777" w:rsidR="002A2E98" w:rsidRPr="0068294B" w:rsidRDefault="002A2E98" w:rsidP="000C35DA">
            <w:pPr>
              <w:rPr>
                <w:b/>
                <w:bCs/>
              </w:rPr>
            </w:pPr>
            <w:r w:rsidRPr="0068294B">
              <w:rPr>
                <w:b/>
                <w:bCs/>
              </w:rPr>
              <w:t>Overall Assessment</w:t>
            </w:r>
          </w:p>
        </w:tc>
      </w:tr>
      <w:tr w:rsidR="002A2E98" w14:paraId="1F5BF978" w14:textId="77777777" w:rsidTr="000C35DA">
        <w:tc>
          <w:tcPr>
            <w:tcW w:w="3639" w:type="dxa"/>
          </w:tcPr>
          <w:p w14:paraId="34B9B2C8" w14:textId="77777777" w:rsidR="002A2E98" w:rsidRDefault="002A2E98" w:rsidP="000C35DA">
            <w:pPr>
              <w:tabs>
                <w:tab w:val="left" w:pos="3520"/>
                <w:tab w:val="left" w:pos="6928"/>
                <w:tab w:val="left" w:pos="10335"/>
              </w:tabs>
            </w:pPr>
            <w:r>
              <w:t>Do fees and charges provide fair value?</w:t>
            </w:r>
          </w:p>
        </w:tc>
        <w:tc>
          <w:tcPr>
            <w:tcW w:w="9991" w:type="dxa"/>
          </w:tcPr>
          <w:p w14:paraId="530C711B" w14:textId="77777777" w:rsidR="002A2E98" w:rsidRDefault="002A2E98" w:rsidP="000C35DA">
            <w:pPr>
              <w:tabs>
                <w:tab w:val="left" w:pos="3520"/>
                <w:tab w:val="left" w:pos="6928"/>
                <w:tab w:val="left" w:pos="10335"/>
              </w:tabs>
            </w:pPr>
            <w:r w:rsidRPr="00062913">
              <w:t>Given the level of service provided, the performance of the portfolio, client feedback and the fact that fees and charges do not exceed the cost of delivery excessively, it is our opinion that the service continues to provide fair value.</w:t>
            </w:r>
          </w:p>
        </w:tc>
      </w:tr>
      <w:tr w:rsidR="002A2E98" w14:paraId="4BF2C0CD" w14:textId="77777777" w:rsidTr="000C35DA">
        <w:tc>
          <w:tcPr>
            <w:tcW w:w="3639" w:type="dxa"/>
          </w:tcPr>
          <w:p w14:paraId="267E3036" w14:textId="77777777" w:rsidR="002A2E98" w:rsidRDefault="002A2E98" w:rsidP="000C35DA">
            <w:pPr>
              <w:tabs>
                <w:tab w:val="left" w:pos="3520"/>
                <w:tab w:val="left" w:pos="6928"/>
                <w:tab w:val="left" w:pos="10335"/>
              </w:tabs>
            </w:pPr>
            <w:r>
              <w:t>Are fees and charges in line with industry norms?</w:t>
            </w:r>
          </w:p>
        </w:tc>
        <w:tc>
          <w:tcPr>
            <w:tcW w:w="9991" w:type="dxa"/>
          </w:tcPr>
          <w:p w14:paraId="520C4342" w14:textId="77777777" w:rsidR="002A2E98" w:rsidRDefault="002A2E98" w:rsidP="000C35DA">
            <w:pPr>
              <w:tabs>
                <w:tab w:val="left" w:pos="3520"/>
                <w:tab w:val="left" w:pos="6928"/>
                <w:tab w:val="left" w:pos="10335"/>
              </w:tabs>
            </w:pPr>
            <w:r>
              <w:t xml:space="preserve">Yes. </w:t>
            </w:r>
          </w:p>
          <w:p w14:paraId="3B7D2B4B" w14:textId="2EB76EEB" w:rsidR="002A2E98" w:rsidRDefault="002A2E98" w:rsidP="000C35DA">
            <w:pPr>
              <w:tabs>
                <w:tab w:val="left" w:pos="3520"/>
                <w:tab w:val="left" w:pos="6928"/>
                <w:tab w:val="left" w:pos="10335"/>
              </w:tabs>
            </w:pPr>
          </w:p>
        </w:tc>
      </w:tr>
      <w:tr w:rsidR="002A2E98" w14:paraId="5A561E6D" w14:textId="77777777" w:rsidTr="000C35DA">
        <w:tc>
          <w:tcPr>
            <w:tcW w:w="3639" w:type="dxa"/>
          </w:tcPr>
          <w:p w14:paraId="3ADB492C" w14:textId="77777777" w:rsidR="002A2E98" w:rsidRDefault="002A2E98" w:rsidP="000C35DA">
            <w:pPr>
              <w:tabs>
                <w:tab w:val="left" w:pos="3520"/>
                <w:tab w:val="left" w:pos="6928"/>
                <w:tab w:val="left" w:pos="10335"/>
              </w:tabs>
            </w:pPr>
            <w:r>
              <w:t>Are fees and charges in line with similar firms?</w:t>
            </w:r>
          </w:p>
        </w:tc>
        <w:tc>
          <w:tcPr>
            <w:tcW w:w="9991" w:type="dxa"/>
          </w:tcPr>
          <w:p w14:paraId="0992E884" w14:textId="77777777" w:rsidR="002A2E98" w:rsidRDefault="002A2E98" w:rsidP="000C35DA">
            <w:pPr>
              <w:tabs>
                <w:tab w:val="left" w:pos="3520"/>
                <w:tab w:val="left" w:pos="6928"/>
                <w:tab w:val="left" w:pos="10335"/>
              </w:tabs>
            </w:pPr>
            <w:r>
              <w:t>Yes.</w:t>
            </w:r>
          </w:p>
          <w:p w14:paraId="63EEC706" w14:textId="4E270629" w:rsidR="002A2E98" w:rsidRDefault="002A2E98" w:rsidP="000C35DA">
            <w:pPr>
              <w:tabs>
                <w:tab w:val="left" w:pos="3520"/>
                <w:tab w:val="left" w:pos="6928"/>
                <w:tab w:val="left" w:pos="10335"/>
              </w:tabs>
            </w:pPr>
          </w:p>
        </w:tc>
      </w:tr>
      <w:tr w:rsidR="002A2E98" w14:paraId="79CB7F36" w14:textId="77777777" w:rsidTr="000C35DA">
        <w:tc>
          <w:tcPr>
            <w:tcW w:w="3639" w:type="dxa"/>
          </w:tcPr>
          <w:p w14:paraId="34DA0EFE" w14:textId="77777777" w:rsidR="002A2E98" w:rsidRDefault="002A2E98" w:rsidP="000C35DA">
            <w:pPr>
              <w:tabs>
                <w:tab w:val="left" w:pos="3520"/>
                <w:tab w:val="left" w:pos="6928"/>
                <w:tab w:val="left" w:pos="10335"/>
              </w:tabs>
            </w:pPr>
            <w:r>
              <w:t>Are the benefits and features in line with target market requirements?</w:t>
            </w:r>
          </w:p>
        </w:tc>
        <w:tc>
          <w:tcPr>
            <w:tcW w:w="9991" w:type="dxa"/>
          </w:tcPr>
          <w:p w14:paraId="2C7E067C" w14:textId="77777777" w:rsidR="002A2E98" w:rsidRDefault="002A2E98" w:rsidP="000C35DA">
            <w:pPr>
              <w:tabs>
                <w:tab w:val="left" w:pos="3520"/>
                <w:tab w:val="left" w:pos="6928"/>
                <w:tab w:val="left" w:pos="10335"/>
              </w:tabs>
            </w:pPr>
            <w:r>
              <w:t>Yes, we believe that they meet target market requirements.</w:t>
            </w:r>
          </w:p>
        </w:tc>
      </w:tr>
      <w:tr w:rsidR="002A2E98" w14:paraId="22CB537B" w14:textId="77777777" w:rsidTr="000C35DA">
        <w:tc>
          <w:tcPr>
            <w:tcW w:w="3639" w:type="dxa"/>
          </w:tcPr>
          <w:p w14:paraId="0EDC355A" w14:textId="77777777" w:rsidR="002A2E98" w:rsidRDefault="002A2E98" w:rsidP="000C35DA">
            <w:pPr>
              <w:tabs>
                <w:tab w:val="left" w:pos="3520"/>
                <w:tab w:val="left" w:pos="6928"/>
                <w:tab w:val="left" w:pos="10335"/>
              </w:tabs>
            </w:pPr>
            <w:r>
              <w:t>Are there some clients in this target market that may benefit from a lower charging service?</w:t>
            </w:r>
          </w:p>
        </w:tc>
        <w:tc>
          <w:tcPr>
            <w:tcW w:w="9991" w:type="dxa"/>
          </w:tcPr>
          <w:p w14:paraId="30F7858E" w14:textId="25E82CD1" w:rsidR="002A2E98" w:rsidRPr="00865782" w:rsidRDefault="002A2E98" w:rsidP="000C35DA">
            <w:pPr>
              <w:tabs>
                <w:tab w:val="left" w:pos="3520"/>
                <w:tab w:val="left" w:pos="6928"/>
                <w:tab w:val="left" w:pos="10335"/>
              </w:tabs>
            </w:pPr>
            <w:r w:rsidRPr="00865782">
              <w:t>Client requirements are reviewed on an ongoing basis.</w:t>
            </w:r>
          </w:p>
        </w:tc>
      </w:tr>
      <w:tr w:rsidR="002A2E98" w14:paraId="0B172F25" w14:textId="77777777" w:rsidTr="000C35DA">
        <w:tc>
          <w:tcPr>
            <w:tcW w:w="3639" w:type="dxa"/>
          </w:tcPr>
          <w:p w14:paraId="6E1B215D" w14:textId="77777777" w:rsidR="002A2E98" w:rsidRDefault="002A2E98" w:rsidP="000C35DA">
            <w:pPr>
              <w:tabs>
                <w:tab w:val="left" w:pos="3520"/>
                <w:tab w:val="left" w:pos="6928"/>
                <w:tab w:val="left" w:pos="10335"/>
              </w:tabs>
            </w:pPr>
            <w:r>
              <w:t>Has performance been in line with expectations?</w:t>
            </w:r>
          </w:p>
        </w:tc>
        <w:tc>
          <w:tcPr>
            <w:tcW w:w="9991" w:type="dxa"/>
          </w:tcPr>
          <w:p w14:paraId="21DBDF6D" w14:textId="77777777" w:rsidR="002A2E98" w:rsidRDefault="002A2E98" w:rsidP="000C35DA">
            <w:pPr>
              <w:tabs>
                <w:tab w:val="left" w:pos="3520"/>
                <w:tab w:val="left" w:pos="6928"/>
                <w:tab w:val="left" w:pos="10335"/>
              </w:tabs>
            </w:pPr>
            <w:r>
              <w:t>Yes. See separate data.</w:t>
            </w:r>
          </w:p>
        </w:tc>
      </w:tr>
      <w:tr w:rsidR="002A2E98" w14:paraId="6E3AEEDD" w14:textId="77777777" w:rsidTr="000C35DA">
        <w:tc>
          <w:tcPr>
            <w:tcW w:w="3639" w:type="dxa"/>
          </w:tcPr>
          <w:p w14:paraId="13784A0D" w14:textId="77777777" w:rsidR="002A2E98" w:rsidRDefault="002A2E98" w:rsidP="000C35DA">
            <w:pPr>
              <w:tabs>
                <w:tab w:val="left" w:pos="3520"/>
                <w:tab w:val="left" w:pos="6928"/>
                <w:tab w:val="left" w:pos="10335"/>
              </w:tabs>
            </w:pPr>
            <w:r>
              <w:t>Has client feedback or complaints highlighted any concerns?</w:t>
            </w:r>
          </w:p>
        </w:tc>
        <w:tc>
          <w:tcPr>
            <w:tcW w:w="9991" w:type="dxa"/>
          </w:tcPr>
          <w:p w14:paraId="08BDA3A0" w14:textId="01A728EE" w:rsidR="002A2E98" w:rsidRDefault="002A2E98" w:rsidP="000C35DA">
            <w:pPr>
              <w:tabs>
                <w:tab w:val="left" w:pos="3520"/>
                <w:tab w:val="left" w:pos="6928"/>
                <w:tab w:val="left" w:pos="10335"/>
              </w:tabs>
            </w:pPr>
            <w:r>
              <w:t xml:space="preserve">No negative feedback has been received </w:t>
            </w:r>
            <w:r w:rsidRPr="00912417">
              <w:t xml:space="preserve">from </w:t>
            </w:r>
            <w:r w:rsidR="00912417">
              <w:t>in excess of</w:t>
            </w:r>
            <w:r w:rsidRPr="00912417">
              <w:t xml:space="preserve"> </w:t>
            </w:r>
            <w:r w:rsidR="00912417" w:rsidRPr="00912417">
              <w:t>140</w:t>
            </w:r>
            <w:r w:rsidRPr="00912417">
              <w:t>0 clients</w:t>
            </w:r>
            <w:r w:rsidR="00912417">
              <w:t xml:space="preserve"> with an ongoing advice service</w:t>
            </w:r>
          </w:p>
        </w:tc>
      </w:tr>
      <w:tr w:rsidR="002A2E98" w14:paraId="716C66E2" w14:textId="77777777" w:rsidTr="000C35DA">
        <w:tc>
          <w:tcPr>
            <w:tcW w:w="13630" w:type="dxa"/>
            <w:gridSpan w:val="2"/>
          </w:tcPr>
          <w:p w14:paraId="65EA87E6" w14:textId="77777777" w:rsidR="002A2E98" w:rsidRPr="00074BD2" w:rsidRDefault="002A2E98" w:rsidP="000C35DA">
            <w:pPr>
              <w:rPr>
                <w:b/>
                <w:bCs/>
              </w:rPr>
            </w:pPr>
            <w:r w:rsidRPr="00074BD2">
              <w:rPr>
                <w:b/>
                <w:bCs/>
              </w:rPr>
              <w:t>Action Plan for Improvement</w:t>
            </w:r>
          </w:p>
        </w:tc>
      </w:tr>
      <w:tr w:rsidR="002A2E98" w14:paraId="1AFC9205" w14:textId="77777777" w:rsidTr="000C35DA">
        <w:tc>
          <w:tcPr>
            <w:tcW w:w="13630" w:type="dxa"/>
            <w:gridSpan w:val="2"/>
          </w:tcPr>
          <w:p w14:paraId="66B3CE41" w14:textId="77777777" w:rsidR="002A2E98" w:rsidRDefault="002A2E98" w:rsidP="000C35DA">
            <w:pPr>
              <w:tabs>
                <w:tab w:val="left" w:pos="3520"/>
                <w:tab w:val="left" w:pos="6928"/>
                <w:tab w:val="left" w:pos="10335"/>
              </w:tabs>
            </w:pPr>
            <w:r w:rsidRPr="00912417">
              <w:t>Nothing at this time.</w:t>
            </w:r>
          </w:p>
        </w:tc>
      </w:tr>
    </w:tbl>
    <w:p w14:paraId="667A8DB3" w14:textId="77777777" w:rsidR="002A2E98" w:rsidRDefault="002A2E98" w:rsidP="002A2E98">
      <w:pPr>
        <w:spacing w:line="259" w:lineRule="auto"/>
        <w:rPr>
          <w:u w:val="single"/>
        </w:rPr>
      </w:pPr>
    </w:p>
    <w:p w14:paraId="42EB9341" w14:textId="3295BA04" w:rsidR="00B30001" w:rsidRDefault="00B30001">
      <w:pPr>
        <w:spacing w:line="259" w:lineRule="auto"/>
        <w:rPr>
          <w:u w:val="single"/>
        </w:rPr>
      </w:pPr>
      <w:r>
        <w:rPr>
          <w:u w:val="single"/>
        </w:rPr>
        <w:br w:type="page"/>
      </w:r>
    </w:p>
    <w:p w14:paraId="09370A90" w14:textId="5BE53AC6" w:rsidR="0048671E" w:rsidRPr="0048671E" w:rsidRDefault="0048671E">
      <w:pPr>
        <w:spacing w:line="259" w:lineRule="auto"/>
        <w:rPr>
          <w:b/>
          <w:bCs/>
          <w:sz w:val="24"/>
          <w:szCs w:val="28"/>
        </w:rPr>
      </w:pPr>
      <w:r w:rsidRPr="0048671E">
        <w:rPr>
          <w:b/>
          <w:bCs/>
          <w:sz w:val="24"/>
          <w:szCs w:val="28"/>
        </w:rPr>
        <w:lastRenderedPageBreak/>
        <w:t>Appendix 1</w:t>
      </w:r>
    </w:p>
    <w:p w14:paraId="624BB5D8" w14:textId="77777777" w:rsidR="0048671E" w:rsidRDefault="0048671E">
      <w:pPr>
        <w:spacing w:line="259" w:lineRule="auto"/>
        <w:rPr>
          <w:b/>
          <w:bCs/>
          <w:u w:val="single"/>
        </w:rPr>
      </w:pPr>
    </w:p>
    <w:p w14:paraId="3234FC8A" w14:textId="1F9CED63" w:rsidR="000B107A" w:rsidRPr="008C6A94" w:rsidRDefault="00BF41F5">
      <w:pPr>
        <w:spacing w:line="259" w:lineRule="auto"/>
        <w:rPr>
          <w:b/>
          <w:bCs/>
          <w:u w:val="single"/>
        </w:rPr>
      </w:pPr>
      <w:r w:rsidRPr="008C6A94">
        <w:rPr>
          <w:b/>
          <w:bCs/>
          <w:u w:val="single"/>
        </w:rPr>
        <w:t>New Business – Product Simple</w:t>
      </w:r>
    </w:p>
    <w:p w14:paraId="773C68CA" w14:textId="77777777" w:rsidR="00BF41F5" w:rsidRDefault="00BF41F5">
      <w:pPr>
        <w:spacing w:line="259" w:lineRule="auto"/>
      </w:pPr>
    </w:p>
    <w:p w14:paraId="351B4791" w14:textId="0D3B5D09" w:rsidR="00BF41F5" w:rsidRDefault="008C6A94">
      <w:pPr>
        <w:spacing w:line="259" w:lineRule="auto"/>
      </w:pPr>
      <w:r w:rsidRPr="008C6A94">
        <w:rPr>
          <w:noProof/>
        </w:rPr>
        <w:drawing>
          <wp:inline distT="0" distB="0" distL="0" distR="0" wp14:anchorId="396CDD04" wp14:editId="2FA291B4">
            <wp:extent cx="5252484" cy="3906627"/>
            <wp:effectExtent l="0" t="0" r="5715" b="0"/>
            <wp:docPr id="2061629739" name="Picture 1" descr="A diagram of a service deliv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629739" name="Picture 1" descr="A diagram of a service delivery&#10;&#10;AI-generated content may be incorrect."/>
                    <pic:cNvPicPr/>
                  </pic:nvPicPr>
                  <pic:blipFill>
                    <a:blip r:embed="rId11"/>
                    <a:stretch>
                      <a:fillRect/>
                    </a:stretch>
                  </pic:blipFill>
                  <pic:spPr>
                    <a:xfrm>
                      <a:off x="0" y="0"/>
                      <a:ext cx="5279532" cy="3926744"/>
                    </a:xfrm>
                    <a:prstGeom prst="rect">
                      <a:avLst/>
                    </a:prstGeom>
                  </pic:spPr>
                </pic:pic>
              </a:graphicData>
            </a:graphic>
          </wp:inline>
        </w:drawing>
      </w:r>
    </w:p>
    <w:p w14:paraId="36E26E5E" w14:textId="0423DB47" w:rsidR="00AB7479" w:rsidRDefault="00AB7479">
      <w:pPr>
        <w:spacing w:line="259" w:lineRule="auto"/>
      </w:pPr>
      <w:r>
        <w:br w:type="page"/>
      </w:r>
    </w:p>
    <w:p w14:paraId="6E9FED76" w14:textId="77777777" w:rsidR="0028154B" w:rsidRDefault="0028154B">
      <w:pPr>
        <w:spacing w:line="259" w:lineRule="auto"/>
      </w:pPr>
    </w:p>
    <w:p w14:paraId="5DC4E992" w14:textId="66C788B7" w:rsidR="0028154B" w:rsidRDefault="0028154B" w:rsidP="0028154B">
      <w:pPr>
        <w:spacing w:line="259" w:lineRule="auto"/>
        <w:rPr>
          <w:b/>
          <w:bCs/>
          <w:u w:val="single"/>
        </w:rPr>
      </w:pPr>
      <w:r w:rsidRPr="008C6A94">
        <w:rPr>
          <w:b/>
          <w:bCs/>
          <w:u w:val="single"/>
        </w:rPr>
        <w:t xml:space="preserve">New Business – Product </w:t>
      </w:r>
      <w:r w:rsidR="00060A00">
        <w:rPr>
          <w:b/>
          <w:bCs/>
          <w:u w:val="single"/>
        </w:rPr>
        <w:t>Moderate</w:t>
      </w:r>
    </w:p>
    <w:p w14:paraId="3F43FFB4" w14:textId="77777777" w:rsidR="00AB7479" w:rsidRPr="008C6A94" w:rsidRDefault="00AB7479" w:rsidP="0028154B">
      <w:pPr>
        <w:spacing w:line="259" w:lineRule="auto"/>
        <w:rPr>
          <w:b/>
          <w:bCs/>
          <w:u w:val="single"/>
        </w:rPr>
      </w:pPr>
    </w:p>
    <w:p w14:paraId="45FB8909" w14:textId="17FBBD33" w:rsidR="0028154B" w:rsidRDefault="00AB7479">
      <w:pPr>
        <w:spacing w:line="259" w:lineRule="auto"/>
      </w:pPr>
      <w:r w:rsidRPr="00AB7479">
        <w:rPr>
          <w:noProof/>
        </w:rPr>
        <w:drawing>
          <wp:inline distT="0" distB="0" distL="0" distR="0" wp14:anchorId="2F9607E6" wp14:editId="57662199">
            <wp:extent cx="5570703" cy="4115157"/>
            <wp:effectExtent l="0" t="0" r="0" b="0"/>
            <wp:docPr id="231504058" name="Picture 1" descr="A diagram of a service deliv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504058" name="Picture 1" descr="A diagram of a service delivery&#10;&#10;AI-generated content may be incorrect."/>
                    <pic:cNvPicPr/>
                  </pic:nvPicPr>
                  <pic:blipFill>
                    <a:blip r:embed="rId12"/>
                    <a:stretch>
                      <a:fillRect/>
                    </a:stretch>
                  </pic:blipFill>
                  <pic:spPr>
                    <a:xfrm>
                      <a:off x="0" y="0"/>
                      <a:ext cx="5570703" cy="4115157"/>
                    </a:xfrm>
                    <a:prstGeom prst="rect">
                      <a:avLst/>
                    </a:prstGeom>
                  </pic:spPr>
                </pic:pic>
              </a:graphicData>
            </a:graphic>
          </wp:inline>
        </w:drawing>
      </w:r>
    </w:p>
    <w:p w14:paraId="3C4E4870" w14:textId="77777777" w:rsidR="00060A00" w:rsidRDefault="00060A00">
      <w:pPr>
        <w:spacing w:line="259" w:lineRule="auto"/>
      </w:pPr>
    </w:p>
    <w:p w14:paraId="390DBD84" w14:textId="77777777" w:rsidR="00060A00" w:rsidRDefault="00060A00">
      <w:pPr>
        <w:spacing w:line="259" w:lineRule="auto"/>
      </w:pPr>
    </w:p>
    <w:p w14:paraId="3F865335" w14:textId="77777777" w:rsidR="00060A00" w:rsidRDefault="00060A00">
      <w:pPr>
        <w:spacing w:line="259" w:lineRule="auto"/>
      </w:pPr>
    </w:p>
    <w:p w14:paraId="7D2E5A8A" w14:textId="77777777" w:rsidR="00060A00" w:rsidRDefault="00060A00">
      <w:pPr>
        <w:spacing w:line="259" w:lineRule="auto"/>
      </w:pPr>
    </w:p>
    <w:p w14:paraId="04012E42" w14:textId="6E0D96FE" w:rsidR="00060A00" w:rsidRDefault="00060A00" w:rsidP="00060A00">
      <w:pPr>
        <w:spacing w:line="259" w:lineRule="auto"/>
        <w:rPr>
          <w:b/>
          <w:bCs/>
          <w:u w:val="single"/>
        </w:rPr>
      </w:pPr>
      <w:r w:rsidRPr="008C6A94">
        <w:rPr>
          <w:b/>
          <w:bCs/>
          <w:u w:val="single"/>
        </w:rPr>
        <w:t xml:space="preserve">New Business – Product </w:t>
      </w:r>
      <w:r>
        <w:rPr>
          <w:b/>
          <w:bCs/>
          <w:u w:val="single"/>
        </w:rPr>
        <w:t>Complex</w:t>
      </w:r>
    </w:p>
    <w:p w14:paraId="67F0F89E" w14:textId="77777777" w:rsidR="00060A00" w:rsidRDefault="00060A00" w:rsidP="00060A00">
      <w:pPr>
        <w:spacing w:line="259" w:lineRule="auto"/>
        <w:rPr>
          <w:b/>
          <w:bCs/>
          <w:u w:val="single"/>
        </w:rPr>
      </w:pPr>
    </w:p>
    <w:p w14:paraId="744A184C" w14:textId="346F726D" w:rsidR="00060A00" w:rsidRDefault="006D4307" w:rsidP="00060A00">
      <w:pPr>
        <w:spacing w:line="259" w:lineRule="auto"/>
        <w:rPr>
          <w:b/>
          <w:bCs/>
          <w:u w:val="single"/>
        </w:rPr>
      </w:pPr>
      <w:r w:rsidRPr="006D4307">
        <w:rPr>
          <w:b/>
          <w:bCs/>
          <w:noProof/>
          <w:u w:val="single"/>
        </w:rPr>
        <w:drawing>
          <wp:inline distT="0" distB="0" distL="0" distR="0" wp14:anchorId="328592B2" wp14:editId="08D07BA8">
            <wp:extent cx="5547841" cy="4084674"/>
            <wp:effectExtent l="0" t="0" r="0" b="0"/>
            <wp:docPr id="88546212" name="Picture 1" descr="A diagram of a service deliv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46212" name="Picture 1" descr="A diagram of a service delivery&#10;&#10;AI-generated content may be incorrect."/>
                    <pic:cNvPicPr/>
                  </pic:nvPicPr>
                  <pic:blipFill>
                    <a:blip r:embed="rId13"/>
                    <a:stretch>
                      <a:fillRect/>
                    </a:stretch>
                  </pic:blipFill>
                  <pic:spPr>
                    <a:xfrm>
                      <a:off x="0" y="0"/>
                      <a:ext cx="5547841" cy="4084674"/>
                    </a:xfrm>
                    <a:prstGeom prst="rect">
                      <a:avLst/>
                    </a:prstGeom>
                  </pic:spPr>
                </pic:pic>
              </a:graphicData>
            </a:graphic>
          </wp:inline>
        </w:drawing>
      </w:r>
    </w:p>
    <w:p w14:paraId="1C264A68" w14:textId="77777777" w:rsidR="00060A00" w:rsidRDefault="00060A00">
      <w:pPr>
        <w:spacing w:line="259" w:lineRule="auto"/>
      </w:pPr>
    </w:p>
    <w:p w14:paraId="596E7648" w14:textId="77777777" w:rsidR="006D4307" w:rsidRDefault="006D4307">
      <w:pPr>
        <w:spacing w:line="259" w:lineRule="auto"/>
      </w:pPr>
    </w:p>
    <w:p w14:paraId="44CDFA0F" w14:textId="77777777" w:rsidR="006D4307" w:rsidRDefault="006D4307">
      <w:pPr>
        <w:spacing w:line="259" w:lineRule="auto"/>
      </w:pPr>
    </w:p>
    <w:p w14:paraId="488A1F17" w14:textId="2E3CA158" w:rsidR="006D4307" w:rsidRDefault="006D4307">
      <w:pPr>
        <w:spacing w:line="259" w:lineRule="auto"/>
        <w:rPr>
          <w:b/>
          <w:bCs/>
          <w:u w:val="single"/>
        </w:rPr>
      </w:pPr>
      <w:r>
        <w:rPr>
          <w:b/>
          <w:bCs/>
          <w:u w:val="single"/>
        </w:rPr>
        <w:lastRenderedPageBreak/>
        <w:t>Client Review – Simple</w:t>
      </w:r>
    </w:p>
    <w:p w14:paraId="18C01CD1" w14:textId="77777777" w:rsidR="006D4307" w:rsidRDefault="006D4307">
      <w:pPr>
        <w:spacing w:line="259" w:lineRule="auto"/>
        <w:rPr>
          <w:b/>
          <w:bCs/>
          <w:u w:val="single"/>
        </w:rPr>
      </w:pPr>
    </w:p>
    <w:p w14:paraId="7F6610C4" w14:textId="03E991BD" w:rsidR="006D4307" w:rsidRDefault="00B377DF">
      <w:pPr>
        <w:spacing w:line="259" w:lineRule="auto"/>
      </w:pPr>
      <w:r w:rsidRPr="00B377DF">
        <w:rPr>
          <w:noProof/>
        </w:rPr>
        <w:drawing>
          <wp:inline distT="0" distB="0" distL="0" distR="0" wp14:anchorId="3288AC3E" wp14:editId="2438FC6A">
            <wp:extent cx="5532599" cy="4023709"/>
            <wp:effectExtent l="0" t="0" r="0" b="0"/>
            <wp:docPr id="2118195726" name="Picture 1" descr="A diagram of a service deliv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195726" name="Picture 1" descr="A diagram of a service delivery&#10;&#10;AI-generated content may be incorrect."/>
                    <pic:cNvPicPr/>
                  </pic:nvPicPr>
                  <pic:blipFill>
                    <a:blip r:embed="rId14"/>
                    <a:stretch>
                      <a:fillRect/>
                    </a:stretch>
                  </pic:blipFill>
                  <pic:spPr>
                    <a:xfrm>
                      <a:off x="0" y="0"/>
                      <a:ext cx="5532599" cy="4023709"/>
                    </a:xfrm>
                    <a:prstGeom prst="rect">
                      <a:avLst/>
                    </a:prstGeom>
                  </pic:spPr>
                </pic:pic>
              </a:graphicData>
            </a:graphic>
          </wp:inline>
        </w:drawing>
      </w:r>
    </w:p>
    <w:p w14:paraId="3E143D53" w14:textId="77777777" w:rsidR="00B377DF" w:rsidRDefault="00B377DF">
      <w:pPr>
        <w:spacing w:line="259" w:lineRule="auto"/>
      </w:pPr>
    </w:p>
    <w:p w14:paraId="37FEB357" w14:textId="77777777" w:rsidR="00B377DF" w:rsidRDefault="00B377DF">
      <w:pPr>
        <w:spacing w:line="259" w:lineRule="auto"/>
      </w:pPr>
    </w:p>
    <w:p w14:paraId="566AAAD7" w14:textId="77777777" w:rsidR="00B377DF" w:rsidRDefault="00B377DF">
      <w:pPr>
        <w:spacing w:line="259" w:lineRule="auto"/>
      </w:pPr>
    </w:p>
    <w:p w14:paraId="18E481F7" w14:textId="77777777" w:rsidR="00B377DF" w:rsidRDefault="00B377DF">
      <w:pPr>
        <w:spacing w:line="259" w:lineRule="auto"/>
      </w:pPr>
    </w:p>
    <w:p w14:paraId="6672E874" w14:textId="24687850" w:rsidR="00B377DF" w:rsidRDefault="00B377DF">
      <w:pPr>
        <w:spacing w:line="259" w:lineRule="auto"/>
        <w:rPr>
          <w:b/>
          <w:bCs/>
          <w:u w:val="single"/>
        </w:rPr>
      </w:pPr>
      <w:r w:rsidRPr="00B377DF">
        <w:rPr>
          <w:b/>
          <w:bCs/>
          <w:u w:val="single"/>
        </w:rPr>
        <w:lastRenderedPageBreak/>
        <w:t xml:space="preserve">Client Review </w:t>
      </w:r>
      <w:r w:rsidR="006B1BAA">
        <w:rPr>
          <w:b/>
          <w:bCs/>
          <w:u w:val="single"/>
        </w:rPr>
        <w:t>–</w:t>
      </w:r>
      <w:r w:rsidRPr="00B377DF">
        <w:rPr>
          <w:b/>
          <w:bCs/>
          <w:u w:val="single"/>
        </w:rPr>
        <w:t xml:space="preserve"> Moderate</w:t>
      </w:r>
    </w:p>
    <w:p w14:paraId="322A7FBF" w14:textId="77777777" w:rsidR="006B1BAA" w:rsidRDefault="006B1BAA">
      <w:pPr>
        <w:spacing w:line="259" w:lineRule="auto"/>
        <w:rPr>
          <w:b/>
          <w:bCs/>
          <w:u w:val="single"/>
        </w:rPr>
      </w:pPr>
    </w:p>
    <w:p w14:paraId="613B69BA" w14:textId="5E4D1441" w:rsidR="006B1BAA" w:rsidRDefault="006B1BAA">
      <w:pPr>
        <w:spacing w:line="259" w:lineRule="auto"/>
        <w:rPr>
          <w:b/>
          <w:bCs/>
          <w:u w:val="single"/>
        </w:rPr>
      </w:pPr>
      <w:r w:rsidRPr="006B1BAA">
        <w:rPr>
          <w:b/>
          <w:bCs/>
          <w:noProof/>
          <w:u w:val="single"/>
        </w:rPr>
        <w:drawing>
          <wp:inline distT="0" distB="0" distL="0" distR="0" wp14:anchorId="4E0EEC63" wp14:editId="7138FA3D">
            <wp:extent cx="5563082" cy="4016088"/>
            <wp:effectExtent l="0" t="0" r="0" b="3810"/>
            <wp:docPr id="403519507" name="Picture 1" descr="A diagram of a service deliv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519507" name="Picture 1" descr="A diagram of a service delivery&#10;&#10;AI-generated content may be incorrect."/>
                    <pic:cNvPicPr/>
                  </pic:nvPicPr>
                  <pic:blipFill>
                    <a:blip r:embed="rId15"/>
                    <a:stretch>
                      <a:fillRect/>
                    </a:stretch>
                  </pic:blipFill>
                  <pic:spPr>
                    <a:xfrm>
                      <a:off x="0" y="0"/>
                      <a:ext cx="5563082" cy="4016088"/>
                    </a:xfrm>
                    <a:prstGeom prst="rect">
                      <a:avLst/>
                    </a:prstGeom>
                  </pic:spPr>
                </pic:pic>
              </a:graphicData>
            </a:graphic>
          </wp:inline>
        </w:drawing>
      </w:r>
    </w:p>
    <w:p w14:paraId="55B72D43" w14:textId="77777777" w:rsidR="006B1BAA" w:rsidRDefault="006B1BAA">
      <w:pPr>
        <w:spacing w:line="259" w:lineRule="auto"/>
        <w:rPr>
          <w:b/>
          <w:bCs/>
          <w:u w:val="single"/>
        </w:rPr>
      </w:pPr>
    </w:p>
    <w:p w14:paraId="7525356C" w14:textId="77777777" w:rsidR="006B1BAA" w:rsidRDefault="006B1BAA">
      <w:pPr>
        <w:spacing w:line="259" w:lineRule="auto"/>
        <w:rPr>
          <w:b/>
          <w:bCs/>
          <w:u w:val="single"/>
        </w:rPr>
      </w:pPr>
    </w:p>
    <w:p w14:paraId="456B5D0F" w14:textId="77777777" w:rsidR="006B1BAA" w:rsidRDefault="006B1BAA">
      <w:pPr>
        <w:spacing w:line="259" w:lineRule="auto"/>
        <w:rPr>
          <w:b/>
          <w:bCs/>
          <w:u w:val="single"/>
        </w:rPr>
      </w:pPr>
    </w:p>
    <w:p w14:paraId="532B3A7B" w14:textId="77777777" w:rsidR="006B1BAA" w:rsidRDefault="006B1BAA">
      <w:pPr>
        <w:spacing w:line="259" w:lineRule="auto"/>
        <w:rPr>
          <w:b/>
          <w:bCs/>
          <w:u w:val="single"/>
        </w:rPr>
      </w:pPr>
    </w:p>
    <w:p w14:paraId="118A2FDA" w14:textId="1D5B2D58" w:rsidR="006B1BAA" w:rsidRDefault="006B1BAA" w:rsidP="006B1BAA">
      <w:pPr>
        <w:spacing w:line="259" w:lineRule="auto"/>
        <w:rPr>
          <w:b/>
          <w:bCs/>
          <w:u w:val="single"/>
        </w:rPr>
      </w:pPr>
      <w:r w:rsidRPr="00B377DF">
        <w:rPr>
          <w:b/>
          <w:bCs/>
          <w:u w:val="single"/>
        </w:rPr>
        <w:lastRenderedPageBreak/>
        <w:t xml:space="preserve">Client Review </w:t>
      </w:r>
      <w:r>
        <w:rPr>
          <w:b/>
          <w:bCs/>
          <w:u w:val="single"/>
        </w:rPr>
        <w:t>–</w:t>
      </w:r>
      <w:r w:rsidRPr="00B377DF">
        <w:rPr>
          <w:b/>
          <w:bCs/>
          <w:u w:val="single"/>
        </w:rPr>
        <w:t xml:space="preserve"> </w:t>
      </w:r>
      <w:r>
        <w:rPr>
          <w:b/>
          <w:bCs/>
          <w:u w:val="single"/>
        </w:rPr>
        <w:t>Complex</w:t>
      </w:r>
    </w:p>
    <w:p w14:paraId="3DB5B42D" w14:textId="77777777" w:rsidR="006B1BAA" w:rsidRDefault="006B1BAA" w:rsidP="006B1BAA">
      <w:pPr>
        <w:spacing w:line="259" w:lineRule="auto"/>
        <w:rPr>
          <w:b/>
          <w:bCs/>
          <w:u w:val="single"/>
        </w:rPr>
      </w:pPr>
    </w:p>
    <w:p w14:paraId="411F5A4A" w14:textId="10F03DBF" w:rsidR="006B1BAA" w:rsidRDefault="00AE097C" w:rsidP="006B1BAA">
      <w:pPr>
        <w:spacing w:line="259" w:lineRule="auto"/>
        <w:rPr>
          <w:b/>
          <w:bCs/>
          <w:u w:val="single"/>
        </w:rPr>
      </w:pPr>
      <w:r w:rsidRPr="00AE097C">
        <w:rPr>
          <w:b/>
          <w:bCs/>
          <w:noProof/>
          <w:u w:val="single"/>
        </w:rPr>
        <w:drawing>
          <wp:inline distT="0" distB="0" distL="0" distR="0" wp14:anchorId="6B7D872D" wp14:editId="26386BF6">
            <wp:extent cx="5509737" cy="4115157"/>
            <wp:effectExtent l="0" t="0" r="0" b="0"/>
            <wp:docPr id="913102151" name="Picture 1" descr="A diagram of a service deliv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102151" name="Picture 1" descr="A diagram of a service delivery&#10;&#10;AI-generated content may be incorrect."/>
                    <pic:cNvPicPr/>
                  </pic:nvPicPr>
                  <pic:blipFill>
                    <a:blip r:embed="rId16"/>
                    <a:stretch>
                      <a:fillRect/>
                    </a:stretch>
                  </pic:blipFill>
                  <pic:spPr>
                    <a:xfrm>
                      <a:off x="0" y="0"/>
                      <a:ext cx="5509737" cy="4115157"/>
                    </a:xfrm>
                    <a:prstGeom prst="rect">
                      <a:avLst/>
                    </a:prstGeom>
                  </pic:spPr>
                </pic:pic>
              </a:graphicData>
            </a:graphic>
          </wp:inline>
        </w:drawing>
      </w:r>
    </w:p>
    <w:p w14:paraId="16248189" w14:textId="77777777" w:rsidR="006B1BAA" w:rsidRPr="00B377DF" w:rsidRDefault="006B1BAA">
      <w:pPr>
        <w:spacing w:line="259" w:lineRule="auto"/>
        <w:rPr>
          <w:b/>
          <w:bCs/>
          <w:u w:val="single"/>
        </w:rPr>
      </w:pPr>
    </w:p>
    <w:sectPr w:rsidR="006B1BAA" w:rsidRPr="00B377DF" w:rsidSect="00AA57BD">
      <w:headerReference w:type="even" r:id="rId17"/>
      <w:headerReference w:type="default" r:id="rId18"/>
      <w:footerReference w:type="even" r:id="rId19"/>
      <w:footerReference w:type="default" r:id="rId20"/>
      <w:headerReference w:type="first" r:id="rId21"/>
      <w:footerReference w:type="first" r:id="rId22"/>
      <w:pgSz w:w="16838" w:h="11906" w:orient="landscape"/>
      <w:pgMar w:top="1440" w:right="1426" w:bottom="1440" w:left="1772"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32707" w14:textId="77777777" w:rsidR="00784BE7" w:rsidRDefault="00784BE7" w:rsidP="00704D00">
      <w:pPr>
        <w:spacing w:after="0" w:line="240" w:lineRule="auto"/>
      </w:pPr>
      <w:r>
        <w:separator/>
      </w:r>
    </w:p>
    <w:p w14:paraId="60BD077D" w14:textId="77777777" w:rsidR="00784BE7" w:rsidRDefault="00784BE7"/>
    <w:p w14:paraId="4ED53F58" w14:textId="77777777" w:rsidR="00784BE7" w:rsidRDefault="00784BE7" w:rsidP="00966DDD"/>
  </w:endnote>
  <w:endnote w:type="continuationSeparator" w:id="0">
    <w:p w14:paraId="27DFC7C0" w14:textId="77777777" w:rsidR="00784BE7" w:rsidRDefault="00784BE7" w:rsidP="00704D00">
      <w:pPr>
        <w:spacing w:after="0" w:line="240" w:lineRule="auto"/>
      </w:pPr>
      <w:r>
        <w:continuationSeparator/>
      </w:r>
    </w:p>
    <w:p w14:paraId="4EFEE0FF" w14:textId="77777777" w:rsidR="00784BE7" w:rsidRDefault="00784BE7"/>
    <w:p w14:paraId="230A8515" w14:textId="77777777" w:rsidR="00784BE7" w:rsidRDefault="00784BE7" w:rsidP="00966DDD"/>
  </w:endnote>
  <w:endnote w:type="continuationNotice" w:id="1">
    <w:p w14:paraId="50BAAE98" w14:textId="77777777" w:rsidR="00784BE7" w:rsidRDefault="00784B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Rockwell Light">
    <w:charset w:val="00"/>
    <w:family w:val="roman"/>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venir Nex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3DA0" w14:textId="77777777" w:rsidR="00F71072" w:rsidRDefault="00F710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EA4C" w14:textId="77777777" w:rsidR="004977E1" w:rsidRDefault="004977E1" w:rsidP="00191A1D">
    <w:pPr>
      <w:pStyle w:val="Footer"/>
      <w:framePr w:wrap="none" w:vAnchor="text" w:hAnchor="page" w:x="7426" w:y="227"/>
      <w:rPr>
        <w:rStyle w:val="PageNumber"/>
      </w:rPr>
    </w:pPr>
  </w:p>
  <w:tbl>
    <w:tblPr>
      <w:tblStyle w:val="TableGrid"/>
      <w:tblW w:w="13389"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492"/>
      <w:gridCol w:w="7897"/>
    </w:tblGrid>
    <w:tr w:rsidR="00BD38A6" w:rsidRPr="009A3BCA" w14:paraId="6BF927E6" w14:textId="77777777" w:rsidTr="0083519C">
      <w:trPr>
        <w:trHeight w:val="174"/>
      </w:trPr>
      <w:tc>
        <w:tcPr>
          <w:tcW w:w="2051" w:type="pct"/>
          <w:tcMar>
            <w:left w:w="0" w:type="dxa"/>
            <w:right w:w="0" w:type="dxa"/>
          </w:tcMar>
          <w:vAlign w:val="bottom"/>
        </w:tcPr>
        <w:p w14:paraId="4018DDDF" w14:textId="77777777" w:rsidR="00BD38A6" w:rsidRPr="00416BBD" w:rsidRDefault="00BD38A6" w:rsidP="00BD38A6">
          <w:pPr>
            <w:pStyle w:val="Header"/>
            <w:spacing w:before="200"/>
            <w:rPr>
              <w:color w:val="000000" w:themeColor="text1"/>
              <w:sz w:val="18"/>
              <w:szCs w:val="18"/>
              <w:lang w:val="en-US"/>
            </w:rPr>
          </w:pPr>
          <w:r w:rsidRPr="00416BBD">
            <w:rPr>
              <w:color w:val="000000" w:themeColor="text1"/>
              <w:sz w:val="18"/>
              <w:szCs w:val="18"/>
            </w:rPr>
            <w:t xml:space="preserve">© </w:t>
          </w:r>
          <w:r>
            <w:rPr>
              <w:color w:val="000000" w:themeColor="text1"/>
              <w:sz w:val="18"/>
              <w:szCs w:val="18"/>
            </w:rPr>
            <w:t>Thistle Initiatives</w:t>
          </w:r>
          <w:r w:rsidRPr="00416BBD">
            <w:rPr>
              <w:color w:val="000000" w:themeColor="text1"/>
              <w:sz w:val="18"/>
              <w:szCs w:val="18"/>
            </w:rPr>
            <w:t xml:space="preserve"> Limited</w:t>
          </w:r>
        </w:p>
      </w:tc>
      <w:tc>
        <w:tcPr>
          <w:tcW w:w="2949" w:type="pct"/>
          <w:tcMar>
            <w:left w:w="0" w:type="dxa"/>
            <w:right w:w="0" w:type="dxa"/>
          </w:tcMar>
          <w:vAlign w:val="bottom"/>
        </w:tcPr>
        <w:p w14:paraId="150495F2" w14:textId="52909DA8" w:rsidR="00BD38A6" w:rsidRPr="00416BBD" w:rsidRDefault="00BD38A6" w:rsidP="00BD38A6">
          <w:pPr>
            <w:pStyle w:val="Header"/>
            <w:spacing w:before="200"/>
            <w:jc w:val="right"/>
            <w:rPr>
              <w:color w:val="000000" w:themeColor="text1"/>
              <w:sz w:val="18"/>
              <w:szCs w:val="18"/>
            </w:rPr>
          </w:pPr>
          <w:r w:rsidRPr="00DC6D02">
            <w:rPr>
              <w:color w:val="000000" w:themeColor="text1"/>
              <w:sz w:val="18"/>
              <w:szCs w:val="18"/>
            </w:rPr>
            <w:t>Version</w:t>
          </w:r>
          <w:r w:rsidR="00F71072">
            <w:rPr>
              <w:color w:val="000000" w:themeColor="text1"/>
              <w:sz w:val="18"/>
              <w:szCs w:val="18"/>
            </w:rPr>
            <w:t xml:space="preserve">: </w:t>
          </w:r>
          <w:r>
            <w:rPr>
              <w:color w:val="000000" w:themeColor="text1"/>
              <w:sz w:val="18"/>
              <w:szCs w:val="18"/>
            </w:rPr>
            <w:t>December</w:t>
          </w:r>
          <w:r w:rsidRPr="00DC6D02">
            <w:rPr>
              <w:color w:val="000000" w:themeColor="text1"/>
              <w:sz w:val="18"/>
              <w:szCs w:val="18"/>
            </w:rPr>
            <w:t xml:space="preserve"> 2024</w:t>
          </w:r>
          <w:r>
            <w:rPr>
              <w:color w:val="000000" w:themeColor="text1"/>
              <w:sz w:val="18"/>
              <w:szCs w:val="18"/>
            </w:rPr>
            <w:t xml:space="preserve"> page </w:t>
          </w:r>
          <w:r w:rsidRPr="003D19BE">
            <w:rPr>
              <w:color w:val="000000" w:themeColor="text1"/>
              <w:sz w:val="18"/>
              <w:szCs w:val="18"/>
            </w:rPr>
            <w:fldChar w:fldCharType="begin"/>
          </w:r>
          <w:r w:rsidRPr="003D19BE">
            <w:rPr>
              <w:color w:val="000000" w:themeColor="text1"/>
              <w:sz w:val="18"/>
              <w:szCs w:val="18"/>
            </w:rPr>
            <w:instrText xml:space="preserve"> PAGE   \* MERGEFORMAT </w:instrText>
          </w:r>
          <w:r w:rsidRPr="003D19BE">
            <w:rPr>
              <w:color w:val="000000" w:themeColor="text1"/>
              <w:sz w:val="18"/>
              <w:szCs w:val="18"/>
            </w:rPr>
            <w:fldChar w:fldCharType="separate"/>
          </w:r>
          <w:r w:rsidRPr="003D19BE">
            <w:rPr>
              <w:noProof/>
              <w:color w:val="000000" w:themeColor="text1"/>
              <w:sz w:val="18"/>
              <w:szCs w:val="18"/>
            </w:rPr>
            <w:t>1</w:t>
          </w:r>
          <w:r w:rsidRPr="003D19BE">
            <w:rPr>
              <w:noProof/>
              <w:color w:val="000000" w:themeColor="text1"/>
              <w:sz w:val="18"/>
              <w:szCs w:val="18"/>
            </w:rPr>
            <w:fldChar w:fldCharType="end"/>
          </w:r>
        </w:p>
      </w:tc>
    </w:tr>
  </w:tbl>
  <w:p w14:paraId="407A2F3C" w14:textId="0A4D311D" w:rsidR="004977E1" w:rsidRDefault="004977E1" w:rsidP="00966DDD">
    <w:r>
      <w:rPr>
        <w:noProof/>
      </w:rPr>
      <w:drawing>
        <wp:anchor distT="0" distB="0" distL="114300" distR="114300" simplePos="0" relativeHeight="251658243" behindDoc="1" locked="0" layoutInCell="1" allowOverlap="1" wp14:anchorId="7AC78C5F" wp14:editId="4E61D856">
          <wp:simplePos x="0" y="0"/>
          <wp:positionH relativeFrom="column">
            <wp:posOffset>-252730</wp:posOffset>
          </wp:positionH>
          <wp:positionV relativeFrom="page">
            <wp:posOffset>9848264</wp:posOffset>
          </wp:positionV>
          <wp:extent cx="1051200" cy="417600"/>
          <wp:effectExtent l="0" t="0" r="0" b="0"/>
          <wp:wrapNone/>
          <wp:docPr id="24253281" name="Graphic 24253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51200" cy="417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8124" w14:textId="77777777" w:rsidR="00F71072" w:rsidRDefault="00F71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42CCA" w14:textId="77777777" w:rsidR="00784BE7" w:rsidRDefault="00784BE7" w:rsidP="00704D00">
      <w:pPr>
        <w:spacing w:after="0" w:line="240" w:lineRule="auto"/>
      </w:pPr>
      <w:r>
        <w:separator/>
      </w:r>
    </w:p>
    <w:p w14:paraId="23E6F875" w14:textId="77777777" w:rsidR="00784BE7" w:rsidRDefault="00784BE7"/>
    <w:p w14:paraId="6ED66762" w14:textId="77777777" w:rsidR="00784BE7" w:rsidRDefault="00784BE7" w:rsidP="00966DDD"/>
  </w:footnote>
  <w:footnote w:type="continuationSeparator" w:id="0">
    <w:p w14:paraId="389EEDB5" w14:textId="77777777" w:rsidR="00784BE7" w:rsidRDefault="00784BE7" w:rsidP="00704D00">
      <w:pPr>
        <w:spacing w:after="0" w:line="240" w:lineRule="auto"/>
      </w:pPr>
      <w:r>
        <w:continuationSeparator/>
      </w:r>
    </w:p>
    <w:p w14:paraId="4411FBE4" w14:textId="77777777" w:rsidR="00784BE7" w:rsidRDefault="00784BE7"/>
    <w:p w14:paraId="00F92A15" w14:textId="77777777" w:rsidR="00784BE7" w:rsidRDefault="00784BE7" w:rsidP="00966DDD"/>
  </w:footnote>
  <w:footnote w:type="continuationNotice" w:id="1">
    <w:p w14:paraId="55036B22" w14:textId="77777777" w:rsidR="00784BE7" w:rsidRDefault="00784B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3F93E" w14:textId="77777777" w:rsidR="00F71072" w:rsidRDefault="00F71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5EFF4" w14:textId="77777777" w:rsidR="004977E1" w:rsidRDefault="004977E1" w:rsidP="00966DD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0958" w14:textId="77777777" w:rsidR="00F71072" w:rsidRDefault="00F710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57.6pt;visibility:visible;mso-wrap-style:square" o:bullet="t">
        <v:imagedata r:id="rId1" o:title=""/>
      </v:shape>
    </w:pict>
  </w:numPicBullet>
  <w:numPicBullet w:numPicBulletId="1">
    <w:pict>
      <v:shape id="_x0000_i1026" type="#_x0000_t75" style="width:36pt;height:56.4pt;visibility:visible;mso-wrap-style:square" o:bullet="t">
        <v:imagedata r:id="rId2" o:title=""/>
      </v:shape>
    </w:pict>
  </w:numPicBullet>
  <w:numPicBullet w:numPicBulletId="2">
    <w:pict>
      <v:shape id="_x0000_i1027" type="#_x0000_t75" style="width:36pt;height:56.4pt;visibility:visible;mso-wrap-style:square" o:bullet="t">
        <v:imagedata r:id="rId3" o:title=""/>
      </v:shape>
    </w:pict>
  </w:numPicBullet>
  <w:abstractNum w:abstractNumId="0" w15:restartNumberingAfterBreak="0">
    <w:nsid w:val="011A5E94"/>
    <w:multiLevelType w:val="multilevel"/>
    <w:tmpl w:val="545EEA66"/>
    <w:styleLink w:val="CurrentList5"/>
    <w:lvl w:ilvl="0">
      <w:start w:val="1"/>
      <w:numFmt w:val="decimal"/>
      <w:suff w:val="space"/>
      <w:lvlText w:val="%1."/>
      <w:lvlJc w:val="left"/>
      <w:pPr>
        <w:ind w:left="0" w:firstLine="0"/>
      </w:pPr>
      <w:rPr>
        <w:rFonts w:ascii="Arial" w:hAnsi="Arial" w:hint="default"/>
        <w:b/>
        <w:i w:val="0"/>
        <w:color w:val="2E2755"/>
        <w:u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0A34EC"/>
    <w:multiLevelType w:val="multilevel"/>
    <w:tmpl w:val="C3425526"/>
    <w:styleLink w:val="CurrentList10"/>
    <w:lvl w:ilvl="0">
      <w:start w:val="1"/>
      <w:numFmt w:val="bullet"/>
      <w:lvlText w:val=""/>
      <w:lvlPicBulletId w:val="2"/>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BB2C34"/>
    <w:multiLevelType w:val="hybridMultilevel"/>
    <w:tmpl w:val="E916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43990"/>
    <w:multiLevelType w:val="hybridMultilevel"/>
    <w:tmpl w:val="294CCDF8"/>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4" w15:restartNumberingAfterBreak="0">
    <w:nsid w:val="07DA71B8"/>
    <w:multiLevelType w:val="hybridMultilevel"/>
    <w:tmpl w:val="CF5C9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33311D"/>
    <w:multiLevelType w:val="multilevel"/>
    <w:tmpl w:val="36329EF2"/>
    <w:styleLink w:val="CurrentList7"/>
    <w:lvl w:ilvl="0">
      <w:start w:val="1"/>
      <w:numFmt w:val="bullet"/>
      <w:lvlText w:val="ð"/>
      <w:lvlJc w:val="left"/>
      <w:pPr>
        <w:ind w:left="720" w:hanging="360"/>
      </w:pPr>
      <w:rPr>
        <w:rFonts w:ascii="Wingdings" w:hAnsi="Wingdings" w:hint="default"/>
        <w:color w:val="B77000" w:themeColor="accent5" w:themeShade="BF"/>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935FEC"/>
    <w:multiLevelType w:val="multilevel"/>
    <w:tmpl w:val="B39879BA"/>
    <w:lvl w:ilvl="0">
      <w:start w:val="1"/>
      <w:numFmt w:val="decimal"/>
      <w:lvlText w:val="%1"/>
      <w:lvlJc w:val="left"/>
      <w:pPr>
        <w:tabs>
          <w:tab w:val="num" w:pos="360"/>
        </w:tabs>
        <w:ind w:left="360" w:hanging="360"/>
      </w:pPr>
      <w:rPr>
        <w:rFonts w:hint="default"/>
      </w:rPr>
    </w:lvl>
    <w:lvl w:ilvl="1">
      <w:start w:val="7"/>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0C03774A"/>
    <w:multiLevelType w:val="hybridMultilevel"/>
    <w:tmpl w:val="6D165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B06174"/>
    <w:multiLevelType w:val="hybridMultilevel"/>
    <w:tmpl w:val="1CDA5208"/>
    <w:lvl w:ilvl="0" w:tplc="A33A56AA">
      <w:start w:val="1"/>
      <w:numFmt w:val="decimal"/>
      <w:lvlText w:val="%1."/>
      <w:lvlJc w:val="left"/>
      <w:pPr>
        <w:ind w:left="720" w:hanging="360"/>
      </w:pPr>
      <w:rPr>
        <w:rFonts w:hint="default"/>
        <w:b/>
        <w:i w:val="0"/>
        <w:color w:val="auto"/>
        <w:sz w:val="21"/>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057A2D"/>
    <w:multiLevelType w:val="hybridMultilevel"/>
    <w:tmpl w:val="EA4AC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2318BF"/>
    <w:multiLevelType w:val="hybridMultilevel"/>
    <w:tmpl w:val="C6F0679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CF759BC"/>
    <w:multiLevelType w:val="multilevel"/>
    <w:tmpl w:val="93B059FE"/>
    <w:lvl w:ilvl="0">
      <w:start w:val="1"/>
      <w:numFmt w:val="decimal"/>
      <w:lvlText w:val="%1"/>
      <w:lvlJc w:val="left"/>
      <w:pPr>
        <w:ind w:left="432" w:hanging="432"/>
      </w:pPr>
      <w:rPr>
        <w:rFonts w:hint="default"/>
        <w:sz w:val="32"/>
        <w:szCs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Roman"/>
      <w:pStyle w:val="AppendixHeading"/>
      <w:lvlText w:val="Appendix %4"/>
      <w:lvlJc w:val="left"/>
      <w:pPr>
        <w:ind w:left="1701" w:hanging="1701"/>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1FDC6164"/>
    <w:multiLevelType w:val="hybridMultilevel"/>
    <w:tmpl w:val="166EE20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378769F"/>
    <w:multiLevelType w:val="hybridMultilevel"/>
    <w:tmpl w:val="347859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58630FA"/>
    <w:multiLevelType w:val="multilevel"/>
    <w:tmpl w:val="51161A76"/>
    <w:styleLink w:val="CurrentList6"/>
    <w:lvl w:ilvl="0">
      <w:start w:val="1"/>
      <w:numFmt w:val="decimal"/>
      <w:suff w:val="space"/>
      <w:lvlText w:val="%1."/>
      <w:lvlJc w:val="left"/>
      <w:pPr>
        <w:ind w:left="0" w:firstLine="0"/>
      </w:pPr>
      <w:rPr>
        <w:rFonts w:ascii="Arial" w:hAnsi="Arial" w:hint="default"/>
        <w:b/>
        <w:i w:val="0"/>
        <w:color w:val="2E2755"/>
        <w:u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B9A6140"/>
    <w:multiLevelType w:val="hybridMultilevel"/>
    <w:tmpl w:val="4CB29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7F2025"/>
    <w:multiLevelType w:val="multilevel"/>
    <w:tmpl w:val="063EC330"/>
    <w:lvl w:ilvl="0">
      <w:start w:val="1"/>
      <w:numFmt w:val="decimal"/>
      <w:pStyle w:val="Thistle-Head1-10"/>
      <w:suff w:val="space"/>
      <w:lvlText w:val="%1."/>
      <w:lvlJc w:val="left"/>
      <w:pPr>
        <w:ind w:left="0" w:firstLine="0"/>
      </w:pPr>
      <w:rPr>
        <w:rFonts w:ascii="Arial" w:hAnsi="Arial" w:hint="default"/>
        <w:b/>
        <w:i w:val="0"/>
        <w:color w:val="2E2755"/>
        <w:u w:val="none"/>
      </w:rPr>
    </w:lvl>
    <w:lvl w:ilvl="1">
      <w:start w:val="1"/>
      <w:numFmt w:val="decimal"/>
      <w:pStyle w:val="Thistle-Head2-11"/>
      <w:lvlText w:val="%1.%2."/>
      <w:lvlJc w:val="left"/>
      <w:pPr>
        <w:ind w:left="567" w:hanging="207"/>
      </w:pPr>
      <w:rPr>
        <w:rFonts w:hint="default"/>
        <w:b/>
        <w:i w:val="0"/>
      </w:rPr>
    </w:lvl>
    <w:lvl w:ilvl="2">
      <w:start w:val="1"/>
      <w:numFmt w:val="decimal"/>
      <w:pStyle w:val="Thistle-Head3111"/>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0253F91"/>
    <w:multiLevelType w:val="hybridMultilevel"/>
    <w:tmpl w:val="B0BA6D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7197FE9"/>
    <w:multiLevelType w:val="hybridMultilevel"/>
    <w:tmpl w:val="D2964E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2829AB"/>
    <w:multiLevelType w:val="hybridMultilevel"/>
    <w:tmpl w:val="C3425526"/>
    <w:lvl w:ilvl="0" w:tplc="A9E437DC">
      <w:start w:val="1"/>
      <w:numFmt w:val="bullet"/>
      <w:pStyle w:val="ThistleLevel1Bullet"/>
      <w:lvlText w:val=""/>
      <w:lvlPicBulletId w:val="2"/>
      <w:lvlJc w:val="left"/>
      <w:pPr>
        <w:ind w:left="720" w:hanging="360"/>
      </w:pPr>
      <w:rPr>
        <w:rFonts w:ascii="Symbol" w:hAnsi="Symbol" w:hint="default"/>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8B7CE0"/>
    <w:multiLevelType w:val="multilevel"/>
    <w:tmpl w:val="A86A8C0A"/>
    <w:styleLink w:val="CurrentList3"/>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7250D69"/>
    <w:multiLevelType w:val="multilevel"/>
    <w:tmpl w:val="E840A470"/>
    <w:styleLink w:val="CurrentList2"/>
    <w:lvl w:ilvl="0">
      <w:start w:val="1"/>
      <w:numFmt w:val="decimal"/>
      <w:lvlText w:val="%1."/>
      <w:lvlJc w:val="left"/>
      <w:pPr>
        <w:ind w:left="113" w:hanging="113"/>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B5F40D3"/>
    <w:multiLevelType w:val="multilevel"/>
    <w:tmpl w:val="15D853B4"/>
    <w:styleLink w:val="CurrentList4"/>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BBA5C20"/>
    <w:multiLevelType w:val="hybridMultilevel"/>
    <w:tmpl w:val="0644CB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F4B3AB2"/>
    <w:multiLevelType w:val="multilevel"/>
    <w:tmpl w:val="819CD8E6"/>
    <w:styleLink w:val="CurrentList1"/>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475FA9"/>
    <w:multiLevelType w:val="multilevel"/>
    <w:tmpl w:val="C1FEA68A"/>
    <w:styleLink w:val="CurrentList11"/>
    <w:lvl w:ilvl="0">
      <w:start w:val="1"/>
      <w:numFmt w:val="decimal"/>
      <w:suff w:val="space"/>
      <w:lvlText w:val="%1."/>
      <w:lvlJc w:val="left"/>
      <w:pPr>
        <w:ind w:left="0" w:firstLine="0"/>
      </w:pPr>
      <w:rPr>
        <w:rFonts w:ascii="Arial" w:hAnsi="Arial" w:hint="default"/>
        <w:b/>
        <w:i w:val="0"/>
        <w:color w:val="2E2755"/>
        <w:u w:val="none"/>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AFD64F6"/>
    <w:multiLevelType w:val="hybridMultilevel"/>
    <w:tmpl w:val="128CE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EA22A2"/>
    <w:multiLevelType w:val="multilevel"/>
    <w:tmpl w:val="C236278A"/>
    <w:styleLink w:val="CurrentList8"/>
    <w:lvl w:ilvl="0">
      <w:start w:val="1"/>
      <w:numFmt w:val="bullet"/>
      <w:lvlText w:val=""/>
      <w:lvlPicBulletId w:val="0"/>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7987226"/>
    <w:multiLevelType w:val="hybridMultilevel"/>
    <w:tmpl w:val="0B3EB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6A0A91"/>
    <w:multiLevelType w:val="hybridMultilevel"/>
    <w:tmpl w:val="D2964E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EC66BF3"/>
    <w:multiLevelType w:val="hybridMultilevel"/>
    <w:tmpl w:val="1B8A0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AB0D47"/>
    <w:multiLevelType w:val="hybridMultilevel"/>
    <w:tmpl w:val="63DE9600"/>
    <w:lvl w:ilvl="0" w:tplc="5164DDE6">
      <w:start w:val="1"/>
      <w:numFmt w:val="bullet"/>
      <w:pStyle w:val="ListBullet"/>
      <w:lvlText w:val=""/>
      <w:lvlJc w:val="left"/>
      <w:pPr>
        <w:ind w:left="717" w:hanging="360"/>
      </w:pPr>
      <w:rPr>
        <w:rFonts w:ascii="Symbol" w:hAnsi="Symbol" w:hint="default"/>
        <w:b/>
        <w:i w:val="0"/>
        <w:color w:val="46DCDC" w:themeColor="accent1"/>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4E60B0"/>
    <w:multiLevelType w:val="multilevel"/>
    <w:tmpl w:val="236E81F2"/>
    <w:styleLink w:val="CurrentList9"/>
    <w:lvl w:ilvl="0">
      <w:start w:val="1"/>
      <w:numFmt w:val="bullet"/>
      <w:lvlText w:val=""/>
      <w:lvlPicBulletId w:val="1"/>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9904CFD"/>
    <w:multiLevelType w:val="hybridMultilevel"/>
    <w:tmpl w:val="ADC6217E"/>
    <w:lvl w:ilvl="0" w:tplc="CE505268">
      <w:start w:val="1"/>
      <w:numFmt w:val="decimal"/>
      <w:pStyle w:val="ListNumber"/>
      <w:lvlText w:val="%1."/>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39808580">
    <w:abstractNumId w:val="16"/>
  </w:num>
  <w:num w:numId="2" w16cid:durableId="809594803">
    <w:abstractNumId w:val="19"/>
  </w:num>
  <w:num w:numId="3" w16cid:durableId="2055765942">
    <w:abstractNumId w:val="24"/>
  </w:num>
  <w:num w:numId="4" w16cid:durableId="667095462">
    <w:abstractNumId w:val="21"/>
  </w:num>
  <w:num w:numId="5" w16cid:durableId="1947299725">
    <w:abstractNumId w:val="20"/>
  </w:num>
  <w:num w:numId="6" w16cid:durableId="516240076">
    <w:abstractNumId w:val="22"/>
  </w:num>
  <w:num w:numId="7" w16cid:durableId="238097996">
    <w:abstractNumId w:val="0"/>
  </w:num>
  <w:num w:numId="8" w16cid:durableId="718359301">
    <w:abstractNumId w:val="14"/>
  </w:num>
  <w:num w:numId="9" w16cid:durableId="1503818638">
    <w:abstractNumId w:val="5"/>
  </w:num>
  <w:num w:numId="10" w16cid:durableId="1821001607">
    <w:abstractNumId w:val="27"/>
  </w:num>
  <w:num w:numId="11" w16cid:durableId="2094543503">
    <w:abstractNumId w:val="32"/>
  </w:num>
  <w:num w:numId="12" w16cid:durableId="2053311764">
    <w:abstractNumId w:val="1"/>
  </w:num>
  <w:num w:numId="13" w16cid:durableId="387071821">
    <w:abstractNumId w:val="25"/>
  </w:num>
  <w:num w:numId="14" w16cid:durableId="1450664252">
    <w:abstractNumId w:val="11"/>
  </w:num>
  <w:num w:numId="15" w16cid:durableId="1218083012">
    <w:abstractNumId w:val="6"/>
  </w:num>
  <w:num w:numId="16" w16cid:durableId="2111584465">
    <w:abstractNumId w:val="31"/>
  </w:num>
  <w:num w:numId="17" w16cid:durableId="1441758366">
    <w:abstractNumId w:val="33"/>
  </w:num>
  <w:num w:numId="18" w16cid:durableId="1350837781">
    <w:abstractNumId w:val="33"/>
    <w:lvlOverride w:ilvl="0">
      <w:startOverride w:val="1"/>
    </w:lvlOverride>
  </w:num>
  <w:num w:numId="19" w16cid:durableId="1486235985">
    <w:abstractNumId w:val="3"/>
  </w:num>
  <w:num w:numId="20" w16cid:durableId="1741901875">
    <w:abstractNumId w:val="31"/>
  </w:num>
  <w:num w:numId="21" w16cid:durableId="237175768">
    <w:abstractNumId w:val="8"/>
  </w:num>
  <w:num w:numId="22" w16cid:durableId="471990902">
    <w:abstractNumId w:val="12"/>
  </w:num>
  <w:num w:numId="23" w16cid:durableId="84695270">
    <w:abstractNumId w:val="17"/>
  </w:num>
  <w:num w:numId="24" w16cid:durableId="1599750269">
    <w:abstractNumId w:val="23"/>
  </w:num>
  <w:num w:numId="25" w16cid:durableId="1951472204">
    <w:abstractNumId w:val="4"/>
  </w:num>
  <w:num w:numId="26" w16cid:durableId="922563994">
    <w:abstractNumId w:val="2"/>
  </w:num>
  <w:num w:numId="27" w16cid:durableId="485784396">
    <w:abstractNumId w:val="10"/>
  </w:num>
  <w:num w:numId="28" w16cid:durableId="546724076">
    <w:abstractNumId w:val="15"/>
  </w:num>
  <w:num w:numId="29" w16cid:durableId="1697998137">
    <w:abstractNumId w:val="13"/>
  </w:num>
  <w:num w:numId="30" w16cid:durableId="1401630773">
    <w:abstractNumId w:val="7"/>
  </w:num>
  <w:num w:numId="31" w16cid:durableId="1990667666">
    <w:abstractNumId w:val="30"/>
  </w:num>
  <w:num w:numId="32" w16cid:durableId="1433357786">
    <w:abstractNumId w:val="18"/>
  </w:num>
  <w:num w:numId="33" w16cid:durableId="100225322">
    <w:abstractNumId w:val="29"/>
  </w:num>
  <w:num w:numId="34" w16cid:durableId="1401365294">
    <w:abstractNumId w:val="28"/>
  </w:num>
  <w:num w:numId="35" w16cid:durableId="501969244">
    <w:abstractNumId w:val="9"/>
  </w:num>
  <w:num w:numId="36" w16cid:durableId="366564946">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wNTUzNDYxNjAwNTFV0lEKTi0uzszPAykwrwUAQ1/vYiwAAAA="/>
  </w:docVars>
  <w:rsids>
    <w:rsidRoot w:val="00F00C3D"/>
    <w:rsid w:val="0000210E"/>
    <w:rsid w:val="00004150"/>
    <w:rsid w:val="00005319"/>
    <w:rsid w:val="00007A8D"/>
    <w:rsid w:val="00007AED"/>
    <w:rsid w:val="0001233F"/>
    <w:rsid w:val="0001333D"/>
    <w:rsid w:val="000143CC"/>
    <w:rsid w:val="00017AFE"/>
    <w:rsid w:val="000207A7"/>
    <w:rsid w:val="0002121A"/>
    <w:rsid w:val="00026A1E"/>
    <w:rsid w:val="00030B71"/>
    <w:rsid w:val="00033D58"/>
    <w:rsid w:val="00034D17"/>
    <w:rsid w:val="00035196"/>
    <w:rsid w:val="00036C7F"/>
    <w:rsid w:val="00037BDC"/>
    <w:rsid w:val="00040C5C"/>
    <w:rsid w:val="00041FB9"/>
    <w:rsid w:val="000421A5"/>
    <w:rsid w:val="00046B4A"/>
    <w:rsid w:val="00047132"/>
    <w:rsid w:val="000477CE"/>
    <w:rsid w:val="00051B8F"/>
    <w:rsid w:val="00057F9F"/>
    <w:rsid w:val="00060192"/>
    <w:rsid w:val="0006064E"/>
    <w:rsid w:val="00060A00"/>
    <w:rsid w:val="00062913"/>
    <w:rsid w:val="00064CBD"/>
    <w:rsid w:val="000657C0"/>
    <w:rsid w:val="00071271"/>
    <w:rsid w:val="00072963"/>
    <w:rsid w:val="00073471"/>
    <w:rsid w:val="00074BD2"/>
    <w:rsid w:val="00075ED3"/>
    <w:rsid w:val="000766EE"/>
    <w:rsid w:val="000833D0"/>
    <w:rsid w:val="0008468B"/>
    <w:rsid w:val="0008489F"/>
    <w:rsid w:val="00086493"/>
    <w:rsid w:val="000872B1"/>
    <w:rsid w:val="00091B3E"/>
    <w:rsid w:val="00092351"/>
    <w:rsid w:val="0009432C"/>
    <w:rsid w:val="00097EE5"/>
    <w:rsid w:val="000A137A"/>
    <w:rsid w:val="000A2C49"/>
    <w:rsid w:val="000A360F"/>
    <w:rsid w:val="000A6603"/>
    <w:rsid w:val="000A729B"/>
    <w:rsid w:val="000B107A"/>
    <w:rsid w:val="000B29D6"/>
    <w:rsid w:val="000C0812"/>
    <w:rsid w:val="000C0FB3"/>
    <w:rsid w:val="000C18B0"/>
    <w:rsid w:val="000C2729"/>
    <w:rsid w:val="000C31BA"/>
    <w:rsid w:val="000D0381"/>
    <w:rsid w:val="000D17D6"/>
    <w:rsid w:val="000D1966"/>
    <w:rsid w:val="000D2504"/>
    <w:rsid w:val="000D286D"/>
    <w:rsid w:val="000D41E3"/>
    <w:rsid w:val="000D44DB"/>
    <w:rsid w:val="000D5697"/>
    <w:rsid w:val="000D5756"/>
    <w:rsid w:val="000D6862"/>
    <w:rsid w:val="000D7CA7"/>
    <w:rsid w:val="000E024A"/>
    <w:rsid w:val="000E10A3"/>
    <w:rsid w:val="000E33A0"/>
    <w:rsid w:val="000E4530"/>
    <w:rsid w:val="000E4B6E"/>
    <w:rsid w:val="000E5565"/>
    <w:rsid w:val="000E7587"/>
    <w:rsid w:val="000F3AC4"/>
    <w:rsid w:val="000F5745"/>
    <w:rsid w:val="000F7B68"/>
    <w:rsid w:val="00101722"/>
    <w:rsid w:val="001033C4"/>
    <w:rsid w:val="00107366"/>
    <w:rsid w:val="00107805"/>
    <w:rsid w:val="001078F7"/>
    <w:rsid w:val="0010798D"/>
    <w:rsid w:val="00107E9A"/>
    <w:rsid w:val="0011129F"/>
    <w:rsid w:val="00117FDF"/>
    <w:rsid w:val="00124997"/>
    <w:rsid w:val="00126028"/>
    <w:rsid w:val="00132BEF"/>
    <w:rsid w:val="001354DF"/>
    <w:rsid w:val="00135E4E"/>
    <w:rsid w:val="00136B78"/>
    <w:rsid w:val="00136F56"/>
    <w:rsid w:val="00137172"/>
    <w:rsid w:val="001450C7"/>
    <w:rsid w:val="00145464"/>
    <w:rsid w:val="00145DF8"/>
    <w:rsid w:val="001469B0"/>
    <w:rsid w:val="001512A8"/>
    <w:rsid w:val="001526F3"/>
    <w:rsid w:val="00152DD2"/>
    <w:rsid w:val="00153126"/>
    <w:rsid w:val="001565DE"/>
    <w:rsid w:val="001607B8"/>
    <w:rsid w:val="001629E8"/>
    <w:rsid w:val="00165BAA"/>
    <w:rsid w:val="00166046"/>
    <w:rsid w:val="00171033"/>
    <w:rsid w:val="0017293D"/>
    <w:rsid w:val="00172D35"/>
    <w:rsid w:val="00173E8A"/>
    <w:rsid w:val="001741C2"/>
    <w:rsid w:val="001810C0"/>
    <w:rsid w:val="0018195C"/>
    <w:rsid w:val="00181AC4"/>
    <w:rsid w:val="0018219B"/>
    <w:rsid w:val="00186B55"/>
    <w:rsid w:val="00190C0B"/>
    <w:rsid w:val="00191A1D"/>
    <w:rsid w:val="00193771"/>
    <w:rsid w:val="00193F2A"/>
    <w:rsid w:val="0019444A"/>
    <w:rsid w:val="001A1273"/>
    <w:rsid w:val="001A2C88"/>
    <w:rsid w:val="001A3725"/>
    <w:rsid w:val="001B4926"/>
    <w:rsid w:val="001B4F5D"/>
    <w:rsid w:val="001B7E3F"/>
    <w:rsid w:val="001C11D4"/>
    <w:rsid w:val="001C447B"/>
    <w:rsid w:val="001C4B90"/>
    <w:rsid w:val="001C5FD7"/>
    <w:rsid w:val="001C70BC"/>
    <w:rsid w:val="001D010E"/>
    <w:rsid w:val="001D0ECB"/>
    <w:rsid w:val="001D39DB"/>
    <w:rsid w:val="001D51F5"/>
    <w:rsid w:val="001E2CFD"/>
    <w:rsid w:val="001E304C"/>
    <w:rsid w:val="001F04BC"/>
    <w:rsid w:val="001F484B"/>
    <w:rsid w:val="001F65AC"/>
    <w:rsid w:val="0020002A"/>
    <w:rsid w:val="00202187"/>
    <w:rsid w:val="0020652E"/>
    <w:rsid w:val="00207BC4"/>
    <w:rsid w:val="0021469A"/>
    <w:rsid w:val="00214E1B"/>
    <w:rsid w:val="00220415"/>
    <w:rsid w:val="00222D59"/>
    <w:rsid w:val="00223A06"/>
    <w:rsid w:val="00235AD3"/>
    <w:rsid w:val="00241140"/>
    <w:rsid w:val="00241A47"/>
    <w:rsid w:val="00244080"/>
    <w:rsid w:val="002479E3"/>
    <w:rsid w:val="00247B51"/>
    <w:rsid w:val="00250FFF"/>
    <w:rsid w:val="00251FAE"/>
    <w:rsid w:val="00255FC6"/>
    <w:rsid w:val="002570C3"/>
    <w:rsid w:val="0026343A"/>
    <w:rsid w:val="002643AB"/>
    <w:rsid w:val="00272C08"/>
    <w:rsid w:val="0028154B"/>
    <w:rsid w:val="00282033"/>
    <w:rsid w:val="002853A7"/>
    <w:rsid w:val="002872B8"/>
    <w:rsid w:val="0028753C"/>
    <w:rsid w:val="00291B53"/>
    <w:rsid w:val="00292A50"/>
    <w:rsid w:val="00293423"/>
    <w:rsid w:val="00293A08"/>
    <w:rsid w:val="002971A6"/>
    <w:rsid w:val="002A2E98"/>
    <w:rsid w:val="002A32AD"/>
    <w:rsid w:val="002A4DD8"/>
    <w:rsid w:val="002A5EAD"/>
    <w:rsid w:val="002A6018"/>
    <w:rsid w:val="002B0136"/>
    <w:rsid w:val="002B43BE"/>
    <w:rsid w:val="002C0B98"/>
    <w:rsid w:val="002C30F4"/>
    <w:rsid w:val="002C3170"/>
    <w:rsid w:val="002C3832"/>
    <w:rsid w:val="002C5D80"/>
    <w:rsid w:val="002D0BEA"/>
    <w:rsid w:val="002D6167"/>
    <w:rsid w:val="002D73FA"/>
    <w:rsid w:val="002E6267"/>
    <w:rsid w:val="002E6782"/>
    <w:rsid w:val="002F2F3D"/>
    <w:rsid w:val="002F33E8"/>
    <w:rsid w:val="002F4941"/>
    <w:rsid w:val="002F6F23"/>
    <w:rsid w:val="00302600"/>
    <w:rsid w:val="00305E61"/>
    <w:rsid w:val="00306A07"/>
    <w:rsid w:val="00307D2E"/>
    <w:rsid w:val="003102DD"/>
    <w:rsid w:val="00312C2D"/>
    <w:rsid w:val="00313D78"/>
    <w:rsid w:val="00321E99"/>
    <w:rsid w:val="0032528F"/>
    <w:rsid w:val="00326EB2"/>
    <w:rsid w:val="0032703C"/>
    <w:rsid w:val="00331779"/>
    <w:rsid w:val="00331D01"/>
    <w:rsid w:val="00335376"/>
    <w:rsid w:val="00337E9F"/>
    <w:rsid w:val="00340342"/>
    <w:rsid w:val="00343280"/>
    <w:rsid w:val="003451FE"/>
    <w:rsid w:val="00351D88"/>
    <w:rsid w:val="003533B7"/>
    <w:rsid w:val="00354A7E"/>
    <w:rsid w:val="00357F9D"/>
    <w:rsid w:val="003606C6"/>
    <w:rsid w:val="003606E4"/>
    <w:rsid w:val="0036265A"/>
    <w:rsid w:val="003632CD"/>
    <w:rsid w:val="00364834"/>
    <w:rsid w:val="00367879"/>
    <w:rsid w:val="003706EB"/>
    <w:rsid w:val="00371581"/>
    <w:rsid w:val="003735C2"/>
    <w:rsid w:val="003755C9"/>
    <w:rsid w:val="00376597"/>
    <w:rsid w:val="00381E4D"/>
    <w:rsid w:val="00385764"/>
    <w:rsid w:val="00390C87"/>
    <w:rsid w:val="003A05CF"/>
    <w:rsid w:val="003A08F5"/>
    <w:rsid w:val="003A149F"/>
    <w:rsid w:val="003A2DD2"/>
    <w:rsid w:val="003A420A"/>
    <w:rsid w:val="003A738E"/>
    <w:rsid w:val="003A77E1"/>
    <w:rsid w:val="003A7B98"/>
    <w:rsid w:val="003B47C8"/>
    <w:rsid w:val="003B49BC"/>
    <w:rsid w:val="003B6706"/>
    <w:rsid w:val="003C0470"/>
    <w:rsid w:val="003C522A"/>
    <w:rsid w:val="003D0DDF"/>
    <w:rsid w:val="003D1928"/>
    <w:rsid w:val="003D1962"/>
    <w:rsid w:val="003D3F32"/>
    <w:rsid w:val="003D42C0"/>
    <w:rsid w:val="003D5F87"/>
    <w:rsid w:val="003E2EBC"/>
    <w:rsid w:val="003E3639"/>
    <w:rsid w:val="003E4D0C"/>
    <w:rsid w:val="003F1BD3"/>
    <w:rsid w:val="003F5EA7"/>
    <w:rsid w:val="00401EDC"/>
    <w:rsid w:val="004023E9"/>
    <w:rsid w:val="00405B35"/>
    <w:rsid w:val="00406B18"/>
    <w:rsid w:val="00410344"/>
    <w:rsid w:val="0041273C"/>
    <w:rsid w:val="00413205"/>
    <w:rsid w:val="0042076C"/>
    <w:rsid w:val="00423CC2"/>
    <w:rsid w:val="00426103"/>
    <w:rsid w:val="0043176A"/>
    <w:rsid w:val="004318C0"/>
    <w:rsid w:val="00433E3F"/>
    <w:rsid w:val="00441167"/>
    <w:rsid w:val="0044209E"/>
    <w:rsid w:val="00442A29"/>
    <w:rsid w:val="00443ED4"/>
    <w:rsid w:val="00445431"/>
    <w:rsid w:val="00445D92"/>
    <w:rsid w:val="0044736E"/>
    <w:rsid w:val="004500C6"/>
    <w:rsid w:val="00454782"/>
    <w:rsid w:val="00456856"/>
    <w:rsid w:val="0046256C"/>
    <w:rsid w:val="00467014"/>
    <w:rsid w:val="00470F6B"/>
    <w:rsid w:val="004739C0"/>
    <w:rsid w:val="00474316"/>
    <w:rsid w:val="004747DB"/>
    <w:rsid w:val="004774DC"/>
    <w:rsid w:val="004812FA"/>
    <w:rsid w:val="0048221C"/>
    <w:rsid w:val="0048671E"/>
    <w:rsid w:val="00491C06"/>
    <w:rsid w:val="00491FB5"/>
    <w:rsid w:val="0049246B"/>
    <w:rsid w:val="0049320B"/>
    <w:rsid w:val="0049509E"/>
    <w:rsid w:val="004977E1"/>
    <w:rsid w:val="00497D38"/>
    <w:rsid w:val="004A0A03"/>
    <w:rsid w:val="004A3056"/>
    <w:rsid w:val="004A3B4E"/>
    <w:rsid w:val="004B09C1"/>
    <w:rsid w:val="004B2379"/>
    <w:rsid w:val="004B28D3"/>
    <w:rsid w:val="004B502C"/>
    <w:rsid w:val="004B5979"/>
    <w:rsid w:val="004B5A99"/>
    <w:rsid w:val="004B73EB"/>
    <w:rsid w:val="004C0786"/>
    <w:rsid w:val="004C1D4F"/>
    <w:rsid w:val="004C2E2E"/>
    <w:rsid w:val="004C3936"/>
    <w:rsid w:val="004C5A48"/>
    <w:rsid w:val="004D1C91"/>
    <w:rsid w:val="004D1D9B"/>
    <w:rsid w:val="004D39BE"/>
    <w:rsid w:val="004D3A85"/>
    <w:rsid w:val="004E0934"/>
    <w:rsid w:val="004E394A"/>
    <w:rsid w:val="004E664C"/>
    <w:rsid w:val="004E66D6"/>
    <w:rsid w:val="004F0DE5"/>
    <w:rsid w:val="004F37B8"/>
    <w:rsid w:val="004F3FDA"/>
    <w:rsid w:val="004F452A"/>
    <w:rsid w:val="004F486D"/>
    <w:rsid w:val="00502BC0"/>
    <w:rsid w:val="00503164"/>
    <w:rsid w:val="005035F5"/>
    <w:rsid w:val="005171AA"/>
    <w:rsid w:val="00520D79"/>
    <w:rsid w:val="00521CF0"/>
    <w:rsid w:val="0052257F"/>
    <w:rsid w:val="00523BFF"/>
    <w:rsid w:val="00526759"/>
    <w:rsid w:val="00526BD1"/>
    <w:rsid w:val="00530BDF"/>
    <w:rsid w:val="00534A77"/>
    <w:rsid w:val="00534BCD"/>
    <w:rsid w:val="00536C52"/>
    <w:rsid w:val="00551FF6"/>
    <w:rsid w:val="00555882"/>
    <w:rsid w:val="00556122"/>
    <w:rsid w:val="00557ECF"/>
    <w:rsid w:val="00560F34"/>
    <w:rsid w:val="0056159F"/>
    <w:rsid w:val="00563BD8"/>
    <w:rsid w:val="00564216"/>
    <w:rsid w:val="00565695"/>
    <w:rsid w:val="00566386"/>
    <w:rsid w:val="00573232"/>
    <w:rsid w:val="0057433D"/>
    <w:rsid w:val="00574A65"/>
    <w:rsid w:val="005757DA"/>
    <w:rsid w:val="005853B9"/>
    <w:rsid w:val="00586F05"/>
    <w:rsid w:val="005910A8"/>
    <w:rsid w:val="0059328D"/>
    <w:rsid w:val="00593B9B"/>
    <w:rsid w:val="0059570A"/>
    <w:rsid w:val="00595B25"/>
    <w:rsid w:val="00596AB9"/>
    <w:rsid w:val="00597B66"/>
    <w:rsid w:val="005A20E1"/>
    <w:rsid w:val="005A345B"/>
    <w:rsid w:val="005A5E7B"/>
    <w:rsid w:val="005A79FF"/>
    <w:rsid w:val="005A7BBD"/>
    <w:rsid w:val="005B2A21"/>
    <w:rsid w:val="005B328E"/>
    <w:rsid w:val="005B5C74"/>
    <w:rsid w:val="005C005D"/>
    <w:rsid w:val="005C0AA0"/>
    <w:rsid w:val="005C3CF2"/>
    <w:rsid w:val="005C785D"/>
    <w:rsid w:val="005C7E4D"/>
    <w:rsid w:val="005D0E7D"/>
    <w:rsid w:val="005D1683"/>
    <w:rsid w:val="005D1D77"/>
    <w:rsid w:val="005D2C4E"/>
    <w:rsid w:val="005E0A9D"/>
    <w:rsid w:val="005E21E8"/>
    <w:rsid w:val="005E2333"/>
    <w:rsid w:val="005E2391"/>
    <w:rsid w:val="005E3E78"/>
    <w:rsid w:val="005E512B"/>
    <w:rsid w:val="005F5927"/>
    <w:rsid w:val="005F5FF4"/>
    <w:rsid w:val="005F63B1"/>
    <w:rsid w:val="005F6ECF"/>
    <w:rsid w:val="00600D4D"/>
    <w:rsid w:val="00604F86"/>
    <w:rsid w:val="00605935"/>
    <w:rsid w:val="00607BCD"/>
    <w:rsid w:val="00610EA4"/>
    <w:rsid w:val="00611BC8"/>
    <w:rsid w:val="00611E94"/>
    <w:rsid w:val="00615B22"/>
    <w:rsid w:val="006178CD"/>
    <w:rsid w:val="00620284"/>
    <w:rsid w:val="006202F5"/>
    <w:rsid w:val="00621387"/>
    <w:rsid w:val="006237D9"/>
    <w:rsid w:val="00624E45"/>
    <w:rsid w:val="00625207"/>
    <w:rsid w:val="00625BEA"/>
    <w:rsid w:val="0062724B"/>
    <w:rsid w:val="00631E6D"/>
    <w:rsid w:val="006406CE"/>
    <w:rsid w:val="00642660"/>
    <w:rsid w:val="00645989"/>
    <w:rsid w:val="00650937"/>
    <w:rsid w:val="006526C4"/>
    <w:rsid w:val="006549A3"/>
    <w:rsid w:val="00654F99"/>
    <w:rsid w:val="006554DF"/>
    <w:rsid w:val="00656CBA"/>
    <w:rsid w:val="00660166"/>
    <w:rsid w:val="0066164D"/>
    <w:rsid w:val="006626BE"/>
    <w:rsid w:val="00663103"/>
    <w:rsid w:val="00664A90"/>
    <w:rsid w:val="006666B2"/>
    <w:rsid w:val="00673FD3"/>
    <w:rsid w:val="00676D36"/>
    <w:rsid w:val="006773DB"/>
    <w:rsid w:val="0068294B"/>
    <w:rsid w:val="00684A74"/>
    <w:rsid w:val="0069287E"/>
    <w:rsid w:val="00692983"/>
    <w:rsid w:val="006931E1"/>
    <w:rsid w:val="00697544"/>
    <w:rsid w:val="006A2A31"/>
    <w:rsid w:val="006A52C9"/>
    <w:rsid w:val="006B15EA"/>
    <w:rsid w:val="006B1BAA"/>
    <w:rsid w:val="006B3C28"/>
    <w:rsid w:val="006B5836"/>
    <w:rsid w:val="006B617B"/>
    <w:rsid w:val="006C0E37"/>
    <w:rsid w:val="006C1B15"/>
    <w:rsid w:val="006C63DE"/>
    <w:rsid w:val="006C7F63"/>
    <w:rsid w:val="006D1D9E"/>
    <w:rsid w:val="006D1EED"/>
    <w:rsid w:val="006D4307"/>
    <w:rsid w:val="006D4FB6"/>
    <w:rsid w:val="006D5896"/>
    <w:rsid w:val="006D5CBC"/>
    <w:rsid w:val="006D64B2"/>
    <w:rsid w:val="006D654A"/>
    <w:rsid w:val="006E12B5"/>
    <w:rsid w:val="006E2326"/>
    <w:rsid w:val="006E3E51"/>
    <w:rsid w:val="006E6E7B"/>
    <w:rsid w:val="006F1007"/>
    <w:rsid w:val="006F2EDE"/>
    <w:rsid w:val="006F4A54"/>
    <w:rsid w:val="006F543C"/>
    <w:rsid w:val="006F7BC3"/>
    <w:rsid w:val="00704646"/>
    <w:rsid w:val="00704D00"/>
    <w:rsid w:val="007105B3"/>
    <w:rsid w:val="0071319E"/>
    <w:rsid w:val="0071703A"/>
    <w:rsid w:val="0072019B"/>
    <w:rsid w:val="00721B47"/>
    <w:rsid w:val="007242A6"/>
    <w:rsid w:val="007277EE"/>
    <w:rsid w:val="00731675"/>
    <w:rsid w:val="00735E61"/>
    <w:rsid w:val="00742E9A"/>
    <w:rsid w:val="007463D8"/>
    <w:rsid w:val="0075245D"/>
    <w:rsid w:val="007538EB"/>
    <w:rsid w:val="00753DFA"/>
    <w:rsid w:val="007646F6"/>
    <w:rsid w:val="00770000"/>
    <w:rsid w:val="00771E8D"/>
    <w:rsid w:val="00775879"/>
    <w:rsid w:val="007762C7"/>
    <w:rsid w:val="0077761A"/>
    <w:rsid w:val="00780698"/>
    <w:rsid w:val="00784BE7"/>
    <w:rsid w:val="00785D2C"/>
    <w:rsid w:val="00787EC1"/>
    <w:rsid w:val="00790A0F"/>
    <w:rsid w:val="00791C4A"/>
    <w:rsid w:val="0079403B"/>
    <w:rsid w:val="00794478"/>
    <w:rsid w:val="00796C10"/>
    <w:rsid w:val="00797D11"/>
    <w:rsid w:val="007A3F98"/>
    <w:rsid w:val="007B3AAD"/>
    <w:rsid w:val="007B3EF6"/>
    <w:rsid w:val="007B54B4"/>
    <w:rsid w:val="007B5681"/>
    <w:rsid w:val="007C5104"/>
    <w:rsid w:val="007C7911"/>
    <w:rsid w:val="007C7F0C"/>
    <w:rsid w:val="007D2137"/>
    <w:rsid w:val="007D36C4"/>
    <w:rsid w:val="007E68B0"/>
    <w:rsid w:val="007E6D66"/>
    <w:rsid w:val="007F0C92"/>
    <w:rsid w:val="007F12F6"/>
    <w:rsid w:val="007F1379"/>
    <w:rsid w:val="007F1B86"/>
    <w:rsid w:val="007F247D"/>
    <w:rsid w:val="007F4E49"/>
    <w:rsid w:val="007F58DF"/>
    <w:rsid w:val="007F5E71"/>
    <w:rsid w:val="00803925"/>
    <w:rsid w:val="00805E23"/>
    <w:rsid w:val="00807E12"/>
    <w:rsid w:val="008122C4"/>
    <w:rsid w:val="00812814"/>
    <w:rsid w:val="00812C51"/>
    <w:rsid w:val="008136E2"/>
    <w:rsid w:val="00815FF3"/>
    <w:rsid w:val="008203DE"/>
    <w:rsid w:val="008212D8"/>
    <w:rsid w:val="008215C6"/>
    <w:rsid w:val="00826641"/>
    <w:rsid w:val="00826BA7"/>
    <w:rsid w:val="0083011B"/>
    <w:rsid w:val="00830771"/>
    <w:rsid w:val="00831B30"/>
    <w:rsid w:val="008326A6"/>
    <w:rsid w:val="008344C6"/>
    <w:rsid w:val="0083519C"/>
    <w:rsid w:val="00835438"/>
    <w:rsid w:val="00837D18"/>
    <w:rsid w:val="00840866"/>
    <w:rsid w:val="00842BAA"/>
    <w:rsid w:val="0084498F"/>
    <w:rsid w:val="0084717D"/>
    <w:rsid w:val="008505DE"/>
    <w:rsid w:val="00852555"/>
    <w:rsid w:val="008623D3"/>
    <w:rsid w:val="00865782"/>
    <w:rsid w:val="00867DA1"/>
    <w:rsid w:val="00870658"/>
    <w:rsid w:val="00875086"/>
    <w:rsid w:val="00876293"/>
    <w:rsid w:val="00876644"/>
    <w:rsid w:val="00876EC1"/>
    <w:rsid w:val="008827FE"/>
    <w:rsid w:val="00886460"/>
    <w:rsid w:val="0089119D"/>
    <w:rsid w:val="00891AA0"/>
    <w:rsid w:val="008920C9"/>
    <w:rsid w:val="008927A4"/>
    <w:rsid w:val="00892815"/>
    <w:rsid w:val="008A2BC4"/>
    <w:rsid w:val="008A31A9"/>
    <w:rsid w:val="008A4AD9"/>
    <w:rsid w:val="008A4F6C"/>
    <w:rsid w:val="008A6CAB"/>
    <w:rsid w:val="008B7382"/>
    <w:rsid w:val="008C05F4"/>
    <w:rsid w:val="008C0748"/>
    <w:rsid w:val="008C0D2C"/>
    <w:rsid w:val="008C0D5B"/>
    <w:rsid w:val="008C121C"/>
    <w:rsid w:val="008C23A6"/>
    <w:rsid w:val="008C3F71"/>
    <w:rsid w:val="008C4FCB"/>
    <w:rsid w:val="008C587A"/>
    <w:rsid w:val="008C6A94"/>
    <w:rsid w:val="008D0C43"/>
    <w:rsid w:val="008D16F2"/>
    <w:rsid w:val="008D212C"/>
    <w:rsid w:val="008D3032"/>
    <w:rsid w:val="008D4F7E"/>
    <w:rsid w:val="008D75C2"/>
    <w:rsid w:val="008D772D"/>
    <w:rsid w:val="008E0EC3"/>
    <w:rsid w:val="008E17E1"/>
    <w:rsid w:val="008E1ED6"/>
    <w:rsid w:val="008E57F9"/>
    <w:rsid w:val="008F7B7B"/>
    <w:rsid w:val="00900A84"/>
    <w:rsid w:val="00901DC3"/>
    <w:rsid w:val="00906166"/>
    <w:rsid w:val="009065CB"/>
    <w:rsid w:val="00906A4C"/>
    <w:rsid w:val="00907C93"/>
    <w:rsid w:val="00912417"/>
    <w:rsid w:val="00912604"/>
    <w:rsid w:val="00913849"/>
    <w:rsid w:val="00916365"/>
    <w:rsid w:val="00916F4F"/>
    <w:rsid w:val="0092032B"/>
    <w:rsid w:val="00922A80"/>
    <w:rsid w:val="0092357E"/>
    <w:rsid w:val="009236E4"/>
    <w:rsid w:val="00926D6D"/>
    <w:rsid w:val="009301A4"/>
    <w:rsid w:val="0093201A"/>
    <w:rsid w:val="00932632"/>
    <w:rsid w:val="00934725"/>
    <w:rsid w:val="0093582B"/>
    <w:rsid w:val="00936D4F"/>
    <w:rsid w:val="00936E51"/>
    <w:rsid w:val="00940BC0"/>
    <w:rsid w:val="00942E0D"/>
    <w:rsid w:val="00946EE1"/>
    <w:rsid w:val="00954528"/>
    <w:rsid w:val="009604EC"/>
    <w:rsid w:val="0096372A"/>
    <w:rsid w:val="009640D4"/>
    <w:rsid w:val="00966DDD"/>
    <w:rsid w:val="00966F87"/>
    <w:rsid w:val="00977EF9"/>
    <w:rsid w:val="0098124F"/>
    <w:rsid w:val="0098197F"/>
    <w:rsid w:val="009819FD"/>
    <w:rsid w:val="00984CA0"/>
    <w:rsid w:val="00985979"/>
    <w:rsid w:val="00986994"/>
    <w:rsid w:val="009901B5"/>
    <w:rsid w:val="00995902"/>
    <w:rsid w:val="0099670D"/>
    <w:rsid w:val="009A0E44"/>
    <w:rsid w:val="009A3BE5"/>
    <w:rsid w:val="009A44A7"/>
    <w:rsid w:val="009A5C0B"/>
    <w:rsid w:val="009B0696"/>
    <w:rsid w:val="009B13E7"/>
    <w:rsid w:val="009B2824"/>
    <w:rsid w:val="009B5030"/>
    <w:rsid w:val="009B7240"/>
    <w:rsid w:val="009C1568"/>
    <w:rsid w:val="009C1BD6"/>
    <w:rsid w:val="009C6950"/>
    <w:rsid w:val="009C79FE"/>
    <w:rsid w:val="009C7D68"/>
    <w:rsid w:val="009D4FBA"/>
    <w:rsid w:val="009E056A"/>
    <w:rsid w:val="009E358D"/>
    <w:rsid w:val="009F1503"/>
    <w:rsid w:val="009F509D"/>
    <w:rsid w:val="009F7C6D"/>
    <w:rsid w:val="00A03FAE"/>
    <w:rsid w:val="00A04093"/>
    <w:rsid w:val="00A06BAE"/>
    <w:rsid w:val="00A07E31"/>
    <w:rsid w:val="00A11059"/>
    <w:rsid w:val="00A12AAB"/>
    <w:rsid w:val="00A27173"/>
    <w:rsid w:val="00A2734F"/>
    <w:rsid w:val="00A2735C"/>
    <w:rsid w:val="00A277A4"/>
    <w:rsid w:val="00A27C5C"/>
    <w:rsid w:val="00A27F5D"/>
    <w:rsid w:val="00A3190D"/>
    <w:rsid w:val="00A3747A"/>
    <w:rsid w:val="00A419AD"/>
    <w:rsid w:val="00A51098"/>
    <w:rsid w:val="00A513A4"/>
    <w:rsid w:val="00A51D61"/>
    <w:rsid w:val="00A55AE1"/>
    <w:rsid w:val="00A56FCB"/>
    <w:rsid w:val="00A62C43"/>
    <w:rsid w:val="00A65F97"/>
    <w:rsid w:val="00A65FB0"/>
    <w:rsid w:val="00A71014"/>
    <w:rsid w:val="00A7290F"/>
    <w:rsid w:val="00A73AD2"/>
    <w:rsid w:val="00A75BFF"/>
    <w:rsid w:val="00A80447"/>
    <w:rsid w:val="00A817C5"/>
    <w:rsid w:val="00A81E27"/>
    <w:rsid w:val="00A82E27"/>
    <w:rsid w:val="00A85364"/>
    <w:rsid w:val="00A85954"/>
    <w:rsid w:val="00A87E4F"/>
    <w:rsid w:val="00A87E80"/>
    <w:rsid w:val="00A9003A"/>
    <w:rsid w:val="00A90402"/>
    <w:rsid w:val="00A9272D"/>
    <w:rsid w:val="00A92ED3"/>
    <w:rsid w:val="00A93F63"/>
    <w:rsid w:val="00A95BE8"/>
    <w:rsid w:val="00A96DA5"/>
    <w:rsid w:val="00A97255"/>
    <w:rsid w:val="00A97A87"/>
    <w:rsid w:val="00AA1677"/>
    <w:rsid w:val="00AA324E"/>
    <w:rsid w:val="00AA34CA"/>
    <w:rsid w:val="00AA503E"/>
    <w:rsid w:val="00AA5590"/>
    <w:rsid w:val="00AA57BD"/>
    <w:rsid w:val="00AA6DCD"/>
    <w:rsid w:val="00AB3A78"/>
    <w:rsid w:val="00AB45E9"/>
    <w:rsid w:val="00AB6A01"/>
    <w:rsid w:val="00AB7479"/>
    <w:rsid w:val="00AB7C93"/>
    <w:rsid w:val="00AC089C"/>
    <w:rsid w:val="00AC464D"/>
    <w:rsid w:val="00AD00F5"/>
    <w:rsid w:val="00AD031A"/>
    <w:rsid w:val="00AD15B0"/>
    <w:rsid w:val="00AD1AD7"/>
    <w:rsid w:val="00AD4ED1"/>
    <w:rsid w:val="00AD5AC1"/>
    <w:rsid w:val="00AE097C"/>
    <w:rsid w:val="00AE1190"/>
    <w:rsid w:val="00AE3A98"/>
    <w:rsid w:val="00AE46BC"/>
    <w:rsid w:val="00AE593B"/>
    <w:rsid w:val="00AE7A87"/>
    <w:rsid w:val="00AF03EF"/>
    <w:rsid w:val="00B005E9"/>
    <w:rsid w:val="00B06EAA"/>
    <w:rsid w:val="00B07A96"/>
    <w:rsid w:val="00B100D7"/>
    <w:rsid w:val="00B11FB9"/>
    <w:rsid w:val="00B121F8"/>
    <w:rsid w:val="00B13D1A"/>
    <w:rsid w:val="00B16E49"/>
    <w:rsid w:val="00B17288"/>
    <w:rsid w:val="00B208A5"/>
    <w:rsid w:val="00B22943"/>
    <w:rsid w:val="00B24521"/>
    <w:rsid w:val="00B2452F"/>
    <w:rsid w:val="00B26F3B"/>
    <w:rsid w:val="00B30001"/>
    <w:rsid w:val="00B3446B"/>
    <w:rsid w:val="00B35887"/>
    <w:rsid w:val="00B35BA3"/>
    <w:rsid w:val="00B363F4"/>
    <w:rsid w:val="00B377DF"/>
    <w:rsid w:val="00B37CD6"/>
    <w:rsid w:val="00B37F1F"/>
    <w:rsid w:val="00B45850"/>
    <w:rsid w:val="00B45A36"/>
    <w:rsid w:val="00B45F2E"/>
    <w:rsid w:val="00B555C8"/>
    <w:rsid w:val="00B5594C"/>
    <w:rsid w:val="00B56810"/>
    <w:rsid w:val="00B60154"/>
    <w:rsid w:val="00B62403"/>
    <w:rsid w:val="00B65001"/>
    <w:rsid w:val="00B67E74"/>
    <w:rsid w:val="00B72558"/>
    <w:rsid w:val="00B7370C"/>
    <w:rsid w:val="00B75685"/>
    <w:rsid w:val="00B80FE0"/>
    <w:rsid w:val="00B81896"/>
    <w:rsid w:val="00B839F0"/>
    <w:rsid w:val="00B83C81"/>
    <w:rsid w:val="00B90D10"/>
    <w:rsid w:val="00B916DF"/>
    <w:rsid w:val="00B919A1"/>
    <w:rsid w:val="00B92C41"/>
    <w:rsid w:val="00B9306F"/>
    <w:rsid w:val="00B9337D"/>
    <w:rsid w:val="00B96098"/>
    <w:rsid w:val="00B96DC5"/>
    <w:rsid w:val="00B974B9"/>
    <w:rsid w:val="00BA0BFD"/>
    <w:rsid w:val="00BA1C64"/>
    <w:rsid w:val="00BA24B9"/>
    <w:rsid w:val="00BA31FA"/>
    <w:rsid w:val="00BA3BC5"/>
    <w:rsid w:val="00BA3CA6"/>
    <w:rsid w:val="00BA444B"/>
    <w:rsid w:val="00BA4888"/>
    <w:rsid w:val="00BA59B2"/>
    <w:rsid w:val="00BB1182"/>
    <w:rsid w:val="00BC0156"/>
    <w:rsid w:val="00BC0E70"/>
    <w:rsid w:val="00BC12AC"/>
    <w:rsid w:val="00BC2884"/>
    <w:rsid w:val="00BC712C"/>
    <w:rsid w:val="00BD15A5"/>
    <w:rsid w:val="00BD38A6"/>
    <w:rsid w:val="00BD3D46"/>
    <w:rsid w:val="00BD3EA5"/>
    <w:rsid w:val="00BD53A4"/>
    <w:rsid w:val="00BD5DDC"/>
    <w:rsid w:val="00BD6DE7"/>
    <w:rsid w:val="00BD735F"/>
    <w:rsid w:val="00BD7763"/>
    <w:rsid w:val="00BE167C"/>
    <w:rsid w:val="00BE410D"/>
    <w:rsid w:val="00BE65F5"/>
    <w:rsid w:val="00BF0CE0"/>
    <w:rsid w:val="00BF16BE"/>
    <w:rsid w:val="00BF40F3"/>
    <w:rsid w:val="00BF41F5"/>
    <w:rsid w:val="00BF451F"/>
    <w:rsid w:val="00BF4942"/>
    <w:rsid w:val="00BF7B9F"/>
    <w:rsid w:val="00C035A6"/>
    <w:rsid w:val="00C06CBA"/>
    <w:rsid w:val="00C07D82"/>
    <w:rsid w:val="00C1627C"/>
    <w:rsid w:val="00C2083D"/>
    <w:rsid w:val="00C21BA2"/>
    <w:rsid w:val="00C24880"/>
    <w:rsid w:val="00C366BA"/>
    <w:rsid w:val="00C37AC5"/>
    <w:rsid w:val="00C414B0"/>
    <w:rsid w:val="00C41DA0"/>
    <w:rsid w:val="00C4211F"/>
    <w:rsid w:val="00C4313B"/>
    <w:rsid w:val="00C47FEF"/>
    <w:rsid w:val="00C52AF1"/>
    <w:rsid w:val="00C54627"/>
    <w:rsid w:val="00C60246"/>
    <w:rsid w:val="00C6343B"/>
    <w:rsid w:val="00C63BC8"/>
    <w:rsid w:val="00C64C63"/>
    <w:rsid w:val="00C6634E"/>
    <w:rsid w:val="00C666FB"/>
    <w:rsid w:val="00C67A4A"/>
    <w:rsid w:val="00C70EEA"/>
    <w:rsid w:val="00C71C01"/>
    <w:rsid w:val="00C71E43"/>
    <w:rsid w:val="00C73079"/>
    <w:rsid w:val="00C7455E"/>
    <w:rsid w:val="00C748CC"/>
    <w:rsid w:val="00C763F6"/>
    <w:rsid w:val="00C816E3"/>
    <w:rsid w:val="00C82124"/>
    <w:rsid w:val="00C823C5"/>
    <w:rsid w:val="00C82B9A"/>
    <w:rsid w:val="00C84DA6"/>
    <w:rsid w:val="00C86E00"/>
    <w:rsid w:val="00C90E6E"/>
    <w:rsid w:val="00C9416A"/>
    <w:rsid w:val="00C956B3"/>
    <w:rsid w:val="00C966A0"/>
    <w:rsid w:val="00C966DD"/>
    <w:rsid w:val="00C97FE5"/>
    <w:rsid w:val="00CA4945"/>
    <w:rsid w:val="00CA57E0"/>
    <w:rsid w:val="00CB1392"/>
    <w:rsid w:val="00CB2A5F"/>
    <w:rsid w:val="00CB5274"/>
    <w:rsid w:val="00CB618F"/>
    <w:rsid w:val="00CC0787"/>
    <w:rsid w:val="00CC1006"/>
    <w:rsid w:val="00CC14A8"/>
    <w:rsid w:val="00CC34F3"/>
    <w:rsid w:val="00CC3F2B"/>
    <w:rsid w:val="00CC41F2"/>
    <w:rsid w:val="00CC4853"/>
    <w:rsid w:val="00CC7598"/>
    <w:rsid w:val="00CD0072"/>
    <w:rsid w:val="00CD2525"/>
    <w:rsid w:val="00CD4B40"/>
    <w:rsid w:val="00CD550C"/>
    <w:rsid w:val="00CD5DF4"/>
    <w:rsid w:val="00CD6843"/>
    <w:rsid w:val="00CE3CEB"/>
    <w:rsid w:val="00CE5941"/>
    <w:rsid w:val="00CE65C8"/>
    <w:rsid w:val="00CE7A38"/>
    <w:rsid w:val="00CF0C2C"/>
    <w:rsid w:val="00CF18AD"/>
    <w:rsid w:val="00CF23B3"/>
    <w:rsid w:val="00CF280E"/>
    <w:rsid w:val="00CF66F9"/>
    <w:rsid w:val="00CF69F4"/>
    <w:rsid w:val="00CF6CDA"/>
    <w:rsid w:val="00D005B6"/>
    <w:rsid w:val="00D00B99"/>
    <w:rsid w:val="00D00C29"/>
    <w:rsid w:val="00D01850"/>
    <w:rsid w:val="00D12487"/>
    <w:rsid w:val="00D164E9"/>
    <w:rsid w:val="00D16A90"/>
    <w:rsid w:val="00D2061B"/>
    <w:rsid w:val="00D21AA2"/>
    <w:rsid w:val="00D21F4E"/>
    <w:rsid w:val="00D22585"/>
    <w:rsid w:val="00D2354F"/>
    <w:rsid w:val="00D249F7"/>
    <w:rsid w:val="00D274A3"/>
    <w:rsid w:val="00D31B4A"/>
    <w:rsid w:val="00D32252"/>
    <w:rsid w:val="00D33B32"/>
    <w:rsid w:val="00D35E35"/>
    <w:rsid w:val="00D401FC"/>
    <w:rsid w:val="00D44326"/>
    <w:rsid w:val="00D452A2"/>
    <w:rsid w:val="00D4555D"/>
    <w:rsid w:val="00D459BE"/>
    <w:rsid w:val="00D4632C"/>
    <w:rsid w:val="00D47E16"/>
    <w:rsid w:val="00D504B9"/>
    <w:rsid w:val="00D50D63"/>
    <w:rsid w:val="00D523B6"/>
    <w:rsid w:val="00D52D62"/>
    <w:rsid w:val="00D5301A"/>
    <w:rsid w:val="00D5345F"/>
    <w:rsid w:val="00D545EE"/>
    <w:rsid w:val="00D55D09"/>
    <w:rsid w:val="00D567C3"/>
    <w:rsid w:val="00D56B13"/>
    <w:rsid w:val="00D57040"/>
    <w:rsid w:val="00D65BF8"/>
    <w:rsid w:val="00D705EF"/>
    <w:rsid w:val="00D7239A"/>
    <w:rsid w:val="00D72BC9"/>
    <w:rsid w:val="00D76AF5"/>
    <w:rsid w:val="00D80871"/>
    <w:rsid w:val="00D82A18"/>
    <w:rsid w:val="00D836F1"/>
    <w:rsid w:val="00D853B5"/>
    <w:rsid w:val="00D854F7"/>
    <w:rsid w:val="00D9029F"/>
    <w:rsid w:val="00D902A5"/>
    <w:rsid w:val="00D92006"/>
    <w:rsid w:val="00D92878"/>
    <w:rsid w:val="00D9639D"/>
    <w:rsid w:val="00D96879"/>
    <w:rsid w:val="00D96D25"/>
    <w:rsid w:val="00D9704E"/>
    <w:rsid w:val="00DA661D"/>
    <w:rsid w:val="00DA6AD5"/>
    <w:rsid w:val="00DB1758"/>
    <w:rsid w:val="00DB76ED"/>
    <w:rsid w:val="00DC0BDB"/>
    <w:rsid w:val="00DC16C4"/>
    <w:rsid w:val="00DC4283"/>
    <w:rsid w:val="00DC7F4F"/>
    <w:rsid w:val="00DD2818"/>
    <w:rsid w:val="00DD3B7A"/>
    <w:rsid w:val="00DD5078"/>
    <w:rsid w:val="00DD6C2B"/>
    <w:rsid w:val="00DD6F21"/>
    <w:rsid w:val="00DE13E0"/>
    <w:rsid w:val="00DE28F4"/>
    <w:rsid w:val="00DE3A23"/>
    <w:rsid w:val="00DE464F"/>
    <w:rsid w:val="00DE55B8"/>
    <w:rsid w:val="00DE6126"/>
    <w:rsid w:val="00DE638D"/>
    <w:rsid w:val="00DF262E"/>
    <w:rsid w:val="00DF2855"/>
    <w:rsid w:val="00DF3231"/>
    <w:rsid w:val="00DF32D0"/>
    <w:rsid w:val="00DF5385"/>
    <w:rsid w:val="00DF5E3B"/>
    <w:rsid w:val="00DF7F4F"/>
    <w:rsid w:val="00E01545"/>
    <w:rsid w:val="00E02637"/>
    <w:rsid w:val="00E10530"/>
    <w:rsid w:val="00E1451E"/>
    <w:rsid w:val="00E15505"/>
    <w:rsid w:val="00E17AB4"/>
    <w:rsid w:val="00E23FAD"/>
    <w:rsid w:val="00E25726"/>
    <w:rsid w:val="00E25B96"/>
    <w:rsid w:val="00E26190"/>
    <w:rsid w:val="00E27E44"/>
    <w:rsid w:val="00E34D8B"/>
    <w:rsid w:val="00E35598"/>
    <w:rsid w:val="00E37D44"/>
    <w:rsid w:val="00E415B5"/>
    <w:rsid w:val="00E43B55"/>
    <w:rsid w:val="00E45532"/>
    <w:rsid w:val="00E46750"/>
    <w:rsid w:val="00E51B89"/>
    <w:rsid w:val="00E53A64"/>
    <w:rsid w:val="00E572DA"/>
    <w:rsid w:val="00E61F59"/>
    <w:rsid w:val="00E62D7B"/>
    <w:rsid w:val="00E65674"/>
    <w:rsid w:val="00E73EBF"/>
    <w:rsid w:val="00E741B0"/>
    <w:rsid w:val="00E7612D"/>
    <w:rsid w:val="00E76E2D"/>
    <w:rsid w:val="00E80DC4"/>
    <w:rsid w:val="00E82D30"/>
    <w:rsid w:val="00E84E63"/>
    <w:rsid w:val="00E86670"/>
    <w:rsid w:val="00E92168"/>
    <w:rsid w:val="00E924C3"/>
    <w:rsid w:val="00E95D37"/>
    <w:rsid w:val="00EA2F67"/>
    <w:rsid w:val="00EA5D99"/>
    <w:rsid w:val="00EA5FBC"/>
    <w:rsid w:val="00EB1D15"/>
    <w:rsid w:val="00EB2797"/>
    <w:rsid w:val="00EB58AA"/>
    <w:rsid w:val="00EC0FBB"/>
    <w:rsid w:val="00EC47A4"/>
    <w:rsid w:val="00ED296F"/>
    <w:rsid w:val="00ED72A4"/>
    <w:rsid w:val="00EE75F5"/>
    <w:rsid w:val="00EF3076"/>
    <w:rsid w:val="00EF3FAC"/>
    <w:rsid w:val="00EF41E6"/>
    <w:rsid w:val="00EF48B8"/>
    <w:rsid w:val="00EF7176"/>
    <w:rsid w:val="00F00C3D"/>
    <w:rsid w:val="00F01CF3"/>
    <w:rsid w:val="00F075B4"/>
    <w:rsid w:val="00F10198"/>
    <w:rsid w:val="00F11D1B"/>
    <w:rsid w:val="00F11E0B"/>
    <w:rsid w:val="00F12D74"/>
    <w:rsid w:val="00F14AD9"/>
    <w:rsid w:val="00F1712D"/>
    <w:rsid w:val="00F17806"/>
    <w:rsid w:val="00F178F3"/>
    <w:rsid w:val="00F17C42"/>
    <w:rsid w:val="00F24A5C"/>
    <w:rsid w:val="00F2637D"/>
    <w:rsid w:val="00F27085"/>
    <w:rsid w:val="00F275D9"/>
    <w:rsid w:val="00F30816"/>
    <w:rsid w:val="00F30F37"/>
    <w:rsid w:val="00F342C1"/>
    <w:rsid w:val="00F35068"/>
    <w:rsid w:val="00F371F9"/>
    <w:rsid w:val="00F4087F"/>
    <w:rsid w:val="00F477CA"/>
    <w:rsid w:val="00F503D5"/>
    <w:rsid w:val="00F509B7"/>
    <w:rsid w:val="00F5284D"/>
    <w:rsid w:val="00F538AE"/>
    <w:rsid w:val="00F55147"/>
    <w:rsid w:val="00F55E75"/>
    <w:rsid w:val="00F560A3"/>
    <w:rsid w:val="00F57CE2"/>
    <w:rsid w:val="00F6042F"/>
    <w:rsid w:val="00F60475"/>
    <w:rsid w:val="00F6406E"/>
    <w:rsid w:val="00F643D1"/>
    <w:rsid w:val="00F64FB3"/>
    <w:rsid w:val="00F71072"/>
    <w:rsid w:val="00F73144"/>
    <w:rsid w:val="00F749A2"/>
    <w:rsid w:val="00F74E0A"/>
    <w:rsid w:val="00F770BD"/>
    <w:rsid w:val="00F8132D"/>
    <w:rsid w:val="00F8217F"/>
    <w:rsid w:val="00F86698"/>
    <w:rsid w:val="00F975C5"/>
    <w:rsid w:val="00F97B9C"/>
    <w:rsid w:val="00FA41DE"/>
    <w:rsid w:val="00FA6D02"/>
    <w:rsid w:val="00FB1579"/>
    <w:rsid w:val="00FB1625"/>
    <w:rsid w:val="00FB3689"/>
    <w:rsid w:val="00FB3E10"/>
    <w:rsid w:val="00FB4FB3"/>
    <w:rsid w:val="00FB5FCF"/>
    <w:rsid w:val="00FB7DCE"/>
    <w:rsid w:val="00FC012F"/>
    <w:rsid w:val="00FC6D93"/>
    <w:rsid w:val="00FC78AC"/>
    <w:rsid w:val="00FD5EEF"/>
    <w:rsid w:val="00FD7154"/>
    <w:rsid w:val="00FE0409"/>
    <w:rsid w:val="00FE130C"/>
    <w:rsid w:val="00FE301D"/>
    <w:rsid w:val="00FE4304"/>
    <w:rsid w:val="00FE4CCC"/>
    <w:rsid w:val="00FE681C"/>
    <w:rsid w:val="00FF00EA"/>
    <w:rsid w:val="00FF04E0"/>
    <w:rsid w:val="00FF2DF3"/>
    <w:rsid w:val="00FF3A65"/>
    <w:rsid w:val="00FF5D4C"/>
    <w:rsid w:val="00FF634B"/>
    <w:rsid w:val="00FF6D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D521C"/>
  <w15:chartTrackingRefBased/>
  <w15:docId w15:val="{DE76E700-2188-4D04-9218-DE402DD7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C63"/>
    <w:pPr>
      <w:spacing w:line="312" w:lineRule="auto"/>
    </w:pPr>
    <w:rPr>
      <w:rFonts w:ascii="Arial" w:hAnsi="Arial"/>
      <w:sz w:val="20"/>
    </w:rPr>
  </w:style>
  <w:style w:type="paragraph" w:styleId="Heading1">
    <w:name w:val="heading 1"/>
    <w:basedOn w:val="Normal"/>
    <w:next w:val="Normal"/>
    <w:link w:val="Heading1Char"/>
    <w:autoRedefine/>
    <w:qFormat/>
    <w:rsid w:val="003D42C0"/>
    <w:pPr>
      <w:keepNext/>
      <w:keepLines/>
      <w:spacing w:after="210"/>
      <w:outlineLvl w:val="0"/>
    </w:pPr>
    <w:rPr>
      <w:rFonts w:eastAsiaTheme="majorEastAsia" w:cstheme="majorBidi"/>
      <w:b/>
      <w:sz w:val="32"/>
      <w:szCs w:val="32"/>
    </w:rPr>
  </w:style>
  <w:style w:type="paragraph" w:styleId="Heading2">
    <w:name w:val="heading 2"/>
    <w:basedOn w:val="Normal"/>
    <w:next w:val="Normal"/>
    <w:link w:val="Heading2Char"/>
    <w:autoRedefine/>
    <w:unhideWhenUsed/>
    <w:qFormat/>
    <w:rsid w:val="00D545EE"/>
    <w:pPr>
      <w:keepNext/>
      <w:keepLines/>
      <w:spacing w:before="160" w:after="120"/>
      <w:outlineLvl w:val="1"/>
    </w:pPr>
    <w:rPr>
      <w:rFonts w:eastAsiaTheme="majorEastAsia" w:cstheme="majorBidi"/>
      <w:b/>
      <w:sz w:val="24"/>
      <w:szCs w:val="28"/>
    </w:rPr>
  </w:style>
  <w:style w:type="paragraph" w:styleId="Heading3">
    <w:name w:val="heading 3"/>
    <w:basedOn w:val="Normal"/>
    <w:next w:val="Normal"/>
    <w:link w:val="Heading3Char"/>
    <w:autoRedefine/>
    <w:unhideWhenUsed/>
    <w:qFormat/>
    <w:rsid w:val="000D44DB"/>
    <w:pPr>
      <w:keepNext/>
      <w:keepLines/>
      <w:spacing w:before="40" w:after="0"/>
      <w:outlineLvl w:val="2"/>
    </w:pPr>
    <w:rPr>
      <w:rFonts w:eastAsiaTheme="majorEastAsia" w:cstheme="majorBidi"/>
      <w:b/>
      <w:sz w:val="24"/>
      <w:szCs w:val="24"/>
      <w:lang w:eastAsia="en-GB"/>
    </w:rPr>
  </w:style>
  <w:style w:type="paragraph" w:styleId="Heading4">
    <w:name w:val="heading 4"/>
    <w:basedOn w:val="Normal"/>
    <w:next w:val="Normal"/>
    <w:link w:val="Heading4Char"/>
    <w:unhideWhenUsed/>
    <w:rsid w:val="004774DC"/>
    <w:pPr>
      <w:spacing w:before="200" w:after="210" w:line="264" w:lineRule="auto"/>
      <w:outlineLvl w:val="3"/>
    </w:pPr>
    <w:rPr>
      <w:rFonts w:ascii="Cambria" w:eastAsia="Times New Roman" w:hAnsi="Cambria" w:cs="Times New Roman"/>
      <w:b/>
      <w:bCs/>
      <w:i/>
      <w:iCs/>
      <w:color w:val="000000" w:themeColor="text1"/>
      <w:lang w:bidi="en-US"/>
    </w:rPr>
  </w:style>
  <w:style w:type="paragraph" w:styleId="Heading5">
    <w:name w:val="heading 5"/>
    <w:basedOn w:val="Normal"/>
    <w:next w:val="Normal"/>
    <w:link w:val="Heading5Char"/>
    <w:unhideWhenUsed/>
    <w:rsid w:val="004774DC"/>
    <w:pPr>
      <w:numPr>
        <w:ilvl w:val="4"/>
        <w:numId w:val="14"/>
      </w:numPr>
      <w:spacing w:before="200" w:after="210" w:line="264" w:lineRule="auto"/>
      <w:outlineLvl w:val="4"/>
    </w:pPr>
    <w:rPr>
      <w:rFonts w:ascii="Cambria" w:eastAsia="Times New Roman" w:hAnsi="Cambria" w:cs="Times New Roman"/>
      <w:b/>
      <w:bCs/>
      <w:color w:val="7F7F7F"/>
      <w:lang w:bidi="en-US"/>
    </w:rPr>
  </w:style>
  <w:style w:type="paragraph" w:styleId="Heading6">
    <w:name w:val="heading 6"/>
    <w:basedOn w:val="Normal"/>
    <w:next w:val="Normal"/>
    <w:link w:val="Heading6Char"/>
    <w:unhideWhenUsed/>
    <w:rsid w:val="004774DC"/>
    <w:pPr>
      <w:numPr>
        <w:ilvl w:val="5"/>
        <w:numId w:val="14"/>
      </w:numPr>
      <w:spacing w:after="210" w:line="271" w:lineRule="auto"/>
      <w:outlineLvl w:val="5"/>
    </w:pPr>
    <w:rPr>
      <w:rFonts w:ascii="Cambria" w:eastAsia="Times New Roman" w:hAnsi="Cambria" w:cs="Times New Roman"/>
      <w:b/>
      <w:bCs/>
      <w:i/>
      <w:iCs/>
      <w:color w:val="7F7F7F"/>
      <w:lang w:bidi="en-US"/>
    </w:rPr>
  </w:style>
  <w:style w:type="paragraph" w:styleId="Heading7">
    <w:name w:val="heading 7"/>
    <w:basedOn w:val="Normal"/>
    <w:next w:val="Normal"/>
    <w:link w:val="Heading7Char"/>
    <w:unhideWhenUsed/>
    <w:rsid w:val="004774DC"/>
    <w:pPr>
      <w:numPr>
        <w:ilvl w:val="6"/>
        <w:numId w:val="14"/>
      </w:numPr>
      <w:spacing w:after="210" w:line="264" w:lineRule="auto"/>
      <w:outlineLvl w:val="6"/>
    </w:pPr>
    <w:rPr>
      <w:rFonts w:ascii="Cambria" w:eastAsia="Times New Roman" w:hAnsi="Cambria" w:cs="Times New Roman"/>
      <w:i/>
      <w:iCs/>
      <w:color w:val="000000" w:themeColor="text1"/>
      <w:lang w:bidi="en-US"/>
    </w:rPr>
  </w:style>
  <w:style w:type="paragraph" w:styleId="Heading8">
    <w:name w:val="heading 8"/>
    <w:basedOn w:val="Normal"/>
    <w:next w:val="Normal"/>
    <w:link w:val="Heading8Char"/>
    <w:unhideWhenUsed/>
    <w:rsid w:val="004774DC"/>
    <w:pPr>
      <w:numPr>
        <w:ilvl w:val="7"/>
        <w:numId w:val="14"/>
      </w:numPr>
      <w:spacing w:after="210" w:line="264" w:lineRule="auto"/>
      <w:outlineLvl w:val="7"/>
    </w:pPr>
    <w:rPr>
      <w:rFonts w:ascii="Cambria" w:eastAsia="Times New Roman" w:hAnsi="Cambria" w:cs="Times New Roman"/>
      <w:color w:val="000000" w:themeColor="text1"/>
      <w:szCs w:val="20"/>
      <w:lang w:bidi="en-US"/>
    </w:rPr>
  </w:style>
  <w:style w:type="paragraph" w:styleId="Heading9">
    <w:name w:val="heading 9"/>
    <w:basedOn w:val="Normal"/>
    <w:next w:val="Normal"/>
    <w:link w:val="Heading9Char"/>
    <w:uiPriority w:val="9"/>
    <w:semiHidden/>
    <w:unhideWhenUsed/>
    <w:qFormat/>
    <w:rsid w:val="004774DC"/>
    <w:pPr>
      <w:numPr>
        <w:ilvl w:val="8"/>
        <w:numId w:val="14"/>
      </w:numPr>
      <w:spacing w:after="210" w:line="264" w:lineRule="auto"/>
      <w:outlineLvl w:val="8"/>
    </w:pPr>
    <w:rPr>
      <w:rFonts w:ascii="Cambria" w:eastAsia="Times New Roman" w:hAnsi="Cambria" w:cs="Times New Roman"/>
      <w:i/>
      <w:iCs/>
      <w:color w:val="000000" w:themeColor="text1"/>
      <w:spacing w:val="5"/>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04D00"/>
    <w:pPr>
      <w:tabs>
        <w:tab w:val="center" w:pos="4513"/>
        <w:tab w:val="right" w:pos="9026"/>
      </w:tabs>
      <w:spacing w:after="0" w:line="240" w:lineRule="auto"/>
    </w:pPr>
  </w:style>
  <w:style w:type="character" w:customStyle="1" w:styleId="HeaderChar">
    <w:name w:val="Header Char"/>
    <w:basedOn w:val="DefaultParagraphFont"/>
    <w:link w:val="Header"/>
    <w:rsid w:val="00704D00"/>
  </w:style>
  <w:style w:type="paragraph" w:styleId="Footer">
    <w:name w:val="footer"/>
    <w:basedOn w:val="Normal"/>
    <w:link w:val="FooterChar"/>
    <w:unhideWhenUsed/>
    <w:rsid w:val="00704D00"/>
    <w:pPr>
      <w:tabs>
        <w:tab w:val="center" w:pos="4513"/>
        <w:tab w:val="right" w:pos="9026"/>
      </w:tabs>
      <w:spacing w:after="0" w:line="240" w:lineRule="auto"/>
    </w:pPr>
  </w:style>
  <w:style w:type="character" w:customStyle="1" w:styleId="FooterChar">
    <w:name w:val="Footer Char"/>
    <w:basedOn w:val="DefaultParagraphFont"/>
    <w:link w:val="Footer"/>
    <w:rsid w:val="00704D00"/>
  </w:style>
  <w:style w:type="table" w:styleId="TableGrid">
    <w:name w:val="Table Grid"/>
    <w:basedOn w:val="TableNormal"/>
    <w:uiPriority w:val="59"/>
    <w:rsid w:val="00D33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2B43BE"/>
    <w:rPr>
      <w:rFonts w:ascii="Arial" w:hAnsi="Arial"/>
      <w:b/>
      <w:color w:val="F596C5" w:themeColor="accent3"/>
      <w:u w:val="single"/>
    </w:rPr>
  </w:style>
  <w:style w:type="character" w:styleId="UnresolvedMention">
    <w:name w:val="Unresolved Mention"/>
    <w:basedOn w:val="DefaultParagraphFont"/>
    <w:uiPriority w:val="99"/>
    <w:semiHidden/>
    <w:unhideWhenUsed/>
    <w:rsid w:val="006626BE"/>
    <w:rPr>
      <w:color w:val="605E5C"/>
      <w:shd w:val="clear" w:color="auto" w:fill="E1DFDD"/>
    </w:rPr>
  </w:style>
  <w:style w:type="paragraph" w:styleId="NoSpacing">
    <w:name w:val="No Spacing"/>
    <w:link w:val="NoSpacingChar"/>
    <w:uiPriority w:val="1"/>
    <w:qFormat/>
    <w:rsid w:val="00A90402"/>
    <w:pPr>
      <w:spacing w:after="0" w:line="240" w:lineRule="auto"/>
    </w:pPr>
    <w:rPr>
      <w:rFonts w:ascii="Arial" w:eastAsiaTheme="minorEastAsia" w:hAnsi="Arial"/>
      <w:lang w:val="en-US"/>
    </w:rPr>
  </w:style>
  <w:style w:type="character" w:customStyle="1" w:styleId="NoSpacingChar">
    <w:name w:val="No Spacing Char"/>
    <w:basedOn w:val="DefaultParagraphFont"/>
    <w:link w:val="NoSpacing"/>
    <w:uiPriority w:val="1"/>
    <w:rsid w:val="00A90402"/>
    <w:rPr>
      <w:rFonts w:ascii="Arial" w:eastAsiaTheme="minorEastAsia" w:hAnsi="Arial"/>
      <w:lang w:val="en-US"/>
    </w:rPr>
  </w:style>
  <w:style w:type="paragraph" w:customStyle="1" w:styleId="Thistle-Head1-10">
    <w:name w:val="Thistle - Head 1 - 1.0"/>
    <w:basedOn w:val="Normal"/>
    <w:qFormat/>
    <w:rsid w:val="00826641"/>
    <w:pPr>
      <w:numPr>
        <w:numId w:val="1"/>
      </w:numPr>
      <w:suppressAutoHyphens/>
      <w:spacing w:before="300" w:after="300"/>
      <w:jc w:val="both"/>
      <w:outlineLvl w:val="0"/>
    </w:pPr>
    <w:rPr>
      <w:rFonts w:eastAsia="Times New Roman" w:cs="Arial"/>
      <w:b/>
      <w:bCs/>
      <w:color w:val="2E2755" w:themeColor="text2"/>
      <w:sz w:val="32"/>
      <w:szCs w:val="32"/>
      <w:lang w:eastAsia="en-GB"/>
    </w:rPr>
  </w:style>
  <w:style w:type="paragraph" w:customStyle="1" w:styleId="Thistle-Head2-11">
    <w:name w:val="Thistle - Head 2 - 1.1"/>
    <w:basedOn w:val="Thistle-Head1-10"/>
    <w:qFormat/>
    <w:rsid w:val="00CF66F9"/>
    <w:pPr>
      <w:numPr>
        <w:ilvl w:val="1"/>
      </w:numPr>
      <w:outlineLvl w:val="1"/>
    </w:pPr>
  </w:style>
  <w:style w:type="paragraph" w:styleId="TOC1">
    <w:name w:val="toc 1"/>
    <w:basedOn w:val="Normal"/>
    <w:next w:val="Normal"/>
    <w:autoRedefine/>
    <w:uiPriority w:val="39"/>
    <w:unhideWhenUsed/>
    <w:rsid w:val="00676D36"/>
    <w:pPr>
      <w:tabs>
        <w:tab w:val="left" w:pos="440"/>
        <w:tab w:val="right" w:leader="dot" w:pos="9016"/>
      </w:tabs>
      <w:spacing w:after="120"/>
    </w:pPr>
    <w:rPr>
      <w:rFonts w:ascii="Verdana" w:eastAsiaTheme="minorEastAsia" w:hAnsi="Verdana"/>
      <w:noProof/>
      <w:szCs w:val="20"/>
      <w:lang w:eastAsia="en-GB"/>
    </w:rPr>
  </w:style>
  <w:style w:type="paragraph" w:customStyle="1" w:styleId="Thistle-Textbody">
    <w:name w:val="Thistle - Text body"/>
    <w:basedOn w:val="Normal"/>
    <w:qFormat/>
    <w:rsid w:val="00EA2F67"/>
    <w:pPr>
      <w:tabs>
        <w:tab w:val="left" w:pos="880"/>
        <w:tab w:val="right" w:leader="dot" w:pos="9016"/>
      </w:tabs>
      <w:spacing w:after="100"/>
    </w:pPr>
    <w:rPr>
      <w:rFonts w:eastAsiaTheme="minorEastAsia"/>
      <w:noProof/>
      <w:lang w:eastAsia="en-GB"/>
    </w:rPr>
  </w:style>
  <w:style w:type="paragraph" w:customStyle="1" w:styleId="Thistle-Head3111">
    <w:name w:val="Thistle - Head 3 1.1.1"/>
    <w:basedOn w:val="Thistle-Head2-11"/>
    <w:qFormat/>
    <w:rsid w:val="00CF66F9"/>
    <w:pPr>
      <w:numPr>
        <w:ilvl w:val="2"/>
      </w:numPr>
      <w:outlineLvl w:val="2"/>
    </w:pPr>
  </w:style>
  <w:style w:type="paragraph" w:styleId="Title">
    <w:name w:val="Title"/>
    <w:basedOn w:val="Normal"/>
    <w:next w:val="Normal"/>
    <w:link w:val="TitleChar"/>
    <w:qFormat/>
    <w:rsid w:val="00870658"/>
    <w:pPr>
      <w:spacing w:after="0" w:line="240" w:lineRule="auto"/>
      <w:contextualSpacing/>
    </w:pPr>
    <w:rPr>
      <w:rFonts w:ascii="Arial Black" w:eastAsiaTheme="majorEastAsia" w:hAnsi="Arial Black" w:cstheme="majorBidi"/>
      <w:b/>
      <w:spacing w:val="-10"/>
      <w:kern w:val="28"/>
      <w:sz w:val="56"/>
      <w:szCs w:val="56"/>
    </w:rPr>
  </w:style>
  <w:style w:type="character" w:customStyle="1" w:styleId="TitleChar">
    <w:name w:val="Title Char"/>
    <w:basedOn w:val="DefaultParagraphFont"/>
    <w:link w:val="Title"/>
    <w:rsid w:val="00870658"/>
    <w:rPr>
      <w:rFonts w:ascii="Arial Black" w:eastAsiaTheme="majorEastAsia" w:hAnsi="Arial Black" w:cstheme="majorBidi"/>
      <w:b/>
      <w:spacing w:val="-10"/>
      <w:kern w:val="28"/>
      <w:sz w:val="56"/>
      <w:szCs w:val="56"/>
    </w:rPr>
  </w:style>
  <w:style w:type="paragraph" w:customStyle="1" w:styleId="ThistleLevel1Bullet">
    <w:name w:val="Thistle Level 1 Bullet"/>
    <w:basedOn w:val="ListParagraph"/>
    <w:link w:val="ThistleLevel1BulletChar"/>
    <w:qFormat/>
    <w:rsid w:val="00EA2F67"/>
    <w:pPr>
      <w:numPr>
        <w:numId w:val="2"/>
      </w:numPr>
      <w:spacing w:before="360" w:after="480"/>
      <w:jc w:val="both"/>
    </w:pPr>
    <w:rPr>
      <w:rFonts w:eastAsiaTheme="minorEastAsia"/>
      <w:szCs w:val="18"/>
    </w:rPr>
  </w:style>
  <w:style w:type="character" w:customStyle="1" w:styleId="ThistleLevel1BulletChar">
    <w:name w:val="Thistle Level 1 Bullet Char"/>
    <w:basedOn w:val="DefaultParagraphFont"/>
    <w:link w:val="ThistleLevel1Bullet"/>
    <w:rsid w:val="00EA2F67"/>
    <w:rPr>
      <w:rFonts w:ascii="Arial" w:eastAsiaTheme="minorEastAsia" w:hAnsi="Arial"/>
      <w:szCs w:val="18"/>
    </w:rPr>
  </w:style>
  <w:style w:type="paragraph" w:styleId="ListParagraph">
    <w:name w:val="List Paragraph"/>
    <w:basedOn w:val="Normal"/>
    <w:uiPriority w:val="34"/>
    <w:qFormat/>
    <w:rsid w:val="00CF66F9"/>
    <w:pPr>
      <w:ind w:left="720"/>
      <w:contextualSpacing/>
    </w:pPr>
  </w:style>
  <w:style w:type="character" w:styleId="PageNumber">
    <w:name w:val="page number"/>
    <w:basedOn w:val="DefaultParagraphFont"/>
    <w:uiPriority w:val="99"/>
    <w:semiHidden/>
    <w:unhideWhenUsed/>
    <w:rsid w:val="00E37D44"/>
  </w:style>
  <w:style w:type="numbering" w:customStyle="1" w:styleId="CurrentList1">
    <w:name w:val="Current List1"/>
    <w:uiPriority w:val="99"/>
    <w:rsid w:val="00BF451F"/>
    <w:pPr>
      <w:numPr>
        <w:numId w:val="3"/>
      </w:numPr>
    </w:pPr>
  </w:style>
  <w:style w:type="numbering" w:customStyle="1" w:styleId="CurrentList2">
    <w:name w:val="Current List2"/>
    <w:uiPriority w:val="99"/>
    <w:rsid w:val="00CC4853"/>
    <w:pPr>
      <w:numPr>
        <w:numId w:val="4"/>
      </w:numPr>
    </w:pPr>
  </w:style>
  <w:style w:type="numbering" w:customStyle="1" w:styleId="CurrentList3">
    <w:name w:val="Current List3"/>
    <w:uiPriority w:val="99"/>
    <w:rsid w:val="00CC4853"/>
    <w:pPr>
      <w:numPr>
        <w:numId w:val="5"/>
      </w:numPr>
    </w:pPr>
  </w:style>
  <w:style w:type="numbering" w:customStyle="1" w:styleId="CurrentList4">
    <w:name w:val="Current List4"/>
    <w:uiPriority w:val="99"/>
    <w:rsid w:val="007463D8"/>
    <w:pPr>
      <w:numPr>
        <w:numId w:val="6"/>
      </w:numPr>
    </w:pPr>
  </w:style>
  <w:style w:type="numbering" w:customStyle="1" w:styleId="CurrentList5">
    <w:name w:val="Current List5"/>
    <w:uiPriority w:val="99"/>
    <w:rsid w:val="00D401FC"/>
    <w:pPr>
      <w:numPr>
        <w:numId w:val="7"/>
      </w:numPr>
    </w:pPr>
  </w:style>
  <w:style w:type="numbering" w:customStyle="1" w:styleId="CurrentList6">
    <w:name w:val="Current List6"/>
    <w:uiPriority w:val="99"/>
    <w:rsid w:val="00C035A6"/>
    <w:pPr>
      <w:numPr>
        <w:numId w:val="8"/>
      </w:numPr>
    </w:pPr>
  </w:style>
  <w:style w:type="numbering" w:customStyle="1" w:styleId="CurrentList7">
    <w:name w:val="Current List7"/>
    <w:uiPriority w:val="99"/>
    <w:rsid w:val="00AC464D"/>
    <w:pPr>
      <w:numPr>
        <w:numId w:val="9"/>
      </w:numPr>
    </w:pPr>
  </w:style>
  <w:style w:type="paragraph" w:customStyle="1" w:styleId="Cover-company">
    <w:name w:val="Cover - company"/>
    <w:basedOn w:val="NoSpacing"/>
    <w:qFormat/>
    <w:rsid w:val="00A56FCB"/>
    <w:pPr>
      <w:framePr w:hSpace="187" w:wrap="around" w:vAnchor="page" w:hAnchor="page" w:x="4296" w:y="4873"/>
      <w:jc w:val="right"/>
    </w:pPr>
    <w:rPr>
      <w:rFonts w:cs="Arial"/>
      <w:b/>
      <w:bCs/>
      <w:color w:val="46DCDC" w:themeColor="accent1"/>
      <w:sz w:val="20"/>
      <w:szCs w:val="20"/>
    </w:rPr>
  </w:style>
  <w:style w:type="character" w:customStyle="1" w:styleId="Heading1Char">
    <w:name w:val="Heading 1 Char"/>
    <w:basedOn w:val="DefaultParagraphFont"/>
    <w:link w:val="Heading1"/>
    <w:rsid w:val="003D42C0"/>
    <w:rPr>
      <w:rFonts w:ascii="Arial" w:eastAsiaTheme="majorEastAsia" w:hAnsi="Arial" w:cstheme="majorBidi"/>
      <w:b/>
      <w:sz w:val="32"/>
      <w:szCs w:val="32"/>
    </w:rPr>
  </w:style>
  <w:style w:type="character" w:customStyle="1" w:styleId="Heading2Char">
    <w:name w:val="Heading 2 Char"/>
    <w:basedOn w:val="DefaultParagraphFont"/>
    <w:link w:val="Heading2"/>
    <w:rsid w:val="00D545EE"/>
    <w:rPr>
      <w:rFonts w:ascii="Arial" w:eastAsiaTheme="majorEastAsia" w:hAnsi="Arial" w:cstheme="majorBidi"/>
      <w:b/>
      <w:sz w:val="24"/>
      <w:szCs w:val="28"/>
    </w:rPr>
  </w:style>
  <w:style w:type="paragraph" w:styleId="Subtitle">
    <w:name w:val="Subtitle"/>
    <w:basedOn w:val="Normal"/>
    <w:next w:val="Normal"/>
    <w:link w:val="SubtitleChar"/>
    <w:uiPriority w:val="11"/>
    <w:qFormat/>
    <w:rsid w:val="0087065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70658"/>
    <w:rPr>
      <w:rFonts w:ascii="Arial" w:eastAsiaTheme="minorEastAsia" w:hAnsi="Arial"/>
      <w:color w:val="5A5A5A" w:themeColor="text1" w:themeTint="A5"/>
      <w:spacing w:val="15"/>
    </w:rPr>
  </w:style>
  <w:style w:type="paragraph" w:customStyle="1" w:styleId="footer-company">
    <w:name w:val="footer - company"/>
    <w:basedOn w:val="Normal"/>
    <w:qFormat/>
    <w:rsid w:val="00A27173"/>
    <w:pPr>
      <w:spacing w:after="0" w:line="240" w:lineRule="auto"/>
      <w:suppressOverlap/>
      <w:jc w:val="right"/>
    </w:pPr>
    <w:rPr>
      <w:rFonts w:cs="Arial"/>
      <w:b/>
      <w:bCs/>
      <w:color w:val="46DCDC" w:themeColor="accent1"/>
      <w:sz w:val="16"/>
      <w:szCs w:val="16"/>
    </w:rPr>
  </w:style>
  <w:style w:type="paragraph" w:customStyle="1" w:styleId="Footer-title">
    <w:name w:val="Footer - title"/>
    <w:basedOn w:val="Normal"/>
    <w:qFormat/>
    <w:rsid w:val="00A56FCB"/>
    <w:pPr>
      <w:spacing w:after="0" w:line="240" w:lineRule="auto"/>
      <w:suppressOverlap/>
      <w:jc w:val="right"/>
    </w:pPr>
    <w:rPr>
      <w:rFonts w:cs="Arial"/>
      <w:b/>
      <w:bCs/>
      <w:color w:val="2E2755" w:themeColor="text2"/>
    </w:rPr>
  </w:style>
  <w:style w:type="paragraph" w:customStyle="1" w:styleId="Footerversion">
    <w:name w:val="Footer version"/>
    <w:basedOn w:val="Footer-title"/>
    <w:qFormat/>
    <w:rsid w:val="00A27173"/>
    <w:rPr>
      <w:b w:val="0"/>
      <w:color w:val="46DCDC" w:themeColor="accent1"/>
      <w:sz w:val="16"/>
      <w:szCs w:val="16"/>
    </w:rPr>
  </w:style>
  <w:style w:type="paragraph" w:customStyle="1" w:styleId="PageNumber1">
    <w:name w:val="Page Number1"/>
    <w:basedOn w:val="Footer"/>
    <w:qFormat/>
    <w:rsid w:val="0020652E"/>
    <w:pPr>
      <w:suppressOverlap/>
    </w:pPr>
    <w:rPr>
      <w:rFonts w:cs="Arial"/>
      <w:b/>
      <w:bCs/>
      <w:color w:val="2E2755" w:themeColor="text2"/>
    </w:rPr>
  </w:style>
  <w:style w:type="paragraph" w:customStyle="1" w:styleId="ContentsTitle">
    <w:name w:val="Contents Title"/>
    <w:basedOn w:val="Thistle-Textbody"/>
    <w:qFormat/>
    <w:rsid w:val="0020652E"/>
    <w:rPr>
      <w:rFonts w:cs="Arial"/>
      <w:b/>
      <w:color w:val="2E2755" w:themeColor="text2"/>
      <w:sz w:val="32"/>
      <w:szCs w:val="32"/>
    </w:rPr>
  </w:style>
  <w:style w:type="numbering" w:customStyle="1" w:styleId="CurrentList8">
    <w:name w:val="Current List8"/>
    <w:uiPriority w:val="99"/>
    <w:rsid w:val="00AE593B"/>
    <w:pPr>
      <w:numPr>
        <w:numId w:val="10"/>
      </w:numPr>
    </w:pPr>
  </w:style>
  <w:style w:type="numbering" w:customStyle="1" w:styleId="CurrentList9">
    <w:name w:val="Current List9"/>
    <w:uiPriority w:val="99"/>
    <w:rsid w:val="00C823C5"/>
    <w:pPr>
      <w:numPr>
        <w:numId w:val="11"/>
      </w:numPr>
    </w:pPr>
  </w:style>
  <w:style w:type="numbering" w:customStyle="1" w:styleId="CurrentList10">
    <w:name w:val="Current List10"/>
    <w:uiPriority w:val="99"/>
    <w:rsid w:val="00060192"/>
    <w:pPr>
      <w:numPr>
        <w:numId w:val="12"/>
      </w:numPr>
    </w:pPr>
  </w:style>
  <w:style w:type="numbering" w:customStyle="1" w:styleId="CurrentList11">
    <w:name w:val="Current List11"/>
    <w:uiPriority w:val="99"/>
    <w:rsid w:val="00826641"/>
    <w:pPr>
      <w:numPr>
        <w:numId w:val="13"/>
      </w:numPr>
    </w:pPr>
  </w:style>
  <w:style w:type="paragraph" w:customStyle="1" w:styleId="GovTablecontents">
    <w:name w:val="Gov Table contents"/>
    <w:basedOn w:val="Normal"/>
    <w:qFormat/>
    <w:rsid w:val="00D80871"/>
    <w:pPr>
      <w:framePr w:hSpace="180" w:wrap="around" w:vAnchor="page" w:hAnchor="margin" w:y="1685"/>
      <w:spacing w:before="60" w:after="60"/>
    </w:pPr>
    <w:rPr>
      <w:rFonts w:cs="Arial"/>
      <w:bCs/>
      <w:sz w:val="16"/>
      <w:szCs w:val="16"/>
    </w:rPr>
  </w:style>
  <w:style w:type="paragraph" w:customStyle="1" w:styleId="Default">
    <w:name w:val="Default"/>
    <w:rsid w:val="00CB2A5F"/>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rsid w:val="000D44DB"/>
    <w:rPr>
      <w:rFonts w:ascii="Arial" w:eastAsiaTheme="majorEastAsia" w:hAnsi="Arial" w:cstheme="majorBidi"/>
      <w:b/>
      <w:sz w:val="24"/>
      <w:szCs w:val="24"/>
      <w:lang w:eastAsia="en-GB"/>
    </w:rPr>
  </w:style>
  <w:style w:type="character" w:customStyle="1" w:styleId="Heading4Char">
    <w:name w:val="Heading 4 Char"/>
    <w:basedOn w:val="DefaultParagraphFont"/>
    <w:link w:val="Heading4"/>
    <w:rsid w:val="004774DC"/>
    <w:rPr>
      <w:rFonts w:ascii="Cambria" w:eastAsia="Times New Roman" w:hAnsi="Cambria" w:cs="Times New Roman"/>
      <w:b/>
      <w:bCs/>
      <w:i/>
      <w:iCs/>
      <w:color w:val="000000" w:themeColor="text1"/>
      <w:sz w:val="20"/>
      <w:lang w:bidi="en-US"/>
    </w:rPr>
  </w:style>
  <w:style w:type="character" w:customStyle="1" w:styleId="Heading5Char">
    <w:name w:val="Heading 5 Char"/>
    <w:basedOn w:val="DefaultParagraphFont"/>
    <w:link w:val="Heading5"/>
    <w:rsid w:val="004774DC"/>
    <w:rPr>
      <w:rFonts w:ascii="Cambria" w:eastAsia="Times New Roman" w:hAnsi="Cambria" w:cs="Times New Roman"/>
      <w:b/>
      <w:bCs/>
      <w:color w:val="7F7F7F"/>
      <w:sz w:val="20"/>
      <w:lang w:bidi="en-US"/>
    </w:rPr>
  </w:style>
  <w:style w:type="character" w:customStyle="1" w:styleId="Heading6Char">
    <w:name w:val="Heading 6 Char"/>
    <w:basedOn w:val="DefaultParagraphFont"/>
    <w:link w:val="Heading6"/>
    <w:rsid w:val="004774DC"/>
    <w:rPr>
      <w:rFonts w:ascii="Cambria" w:eastAsia="Times New Roman" w:hAnsi="Cambria" w:cs="Times New Roman"/>
      <w:b/>
      <w:bCs/>
      <w:i/>
      <w:iCs/>
      <w:color w:val="7F7F7F"/>
      <w:sz w:val="20"/>
      <w:lang w:bidi="en-US"/>
    </w:rPr>
  </w:style>
  <w:style w:type="character" w:customStyle="1" w:styleId="Heading7Char">
    <w:name w:val="Heading 7 Char"/>
    <w:basedOn w:val="DefaultParagraphFont"/>
    <w:link w:val="Heading7"/>
    <w:rsid w:val="004774DC"/>
    <w:rPr>
      <w:rFonts w:ascii="Cambria" w:eastAsia="Times New Roman" w:hAnsi="Cambria" w:cs="Times New Roman"/>
      <w:i/>
      <w:iCs/>
      <w:color w:val="000000" w:themeColor="text1"/>
      <w:sz w:val="20"/>
      <w:lang w:bidi="en-US"/>
    </w:rPr>
  </w:style>
  <w:style w:type="character" w:customStyle="1" w:styleId="Heading8Char">
    <w:name w:val="Heading 8 Char"/>
    <w:basedOn w:val="DefaultParagraphFont"/>
    <w:link w:val="Heading8"/>
    <w:rsid w:val="004774DC"/>
    <w:rPr>
      <w:rFonts w:ascii="Cambria" w:eastAsia="Times New Roman" w:hAnsi="Cambria" w:cs="Times New Roman"/>
      <w:color w:val="000000" w:themeColor="text1"/>
      <w:sz w:val="20"/>
      <w:szCs w:val="20"/>
      <w:lang w:bidi="en-US"/>
    </w:rPr>
  </w:style>
  <w:style w:type="character" w:customStyle="1" w:styleId="Heading9Char">
    <w:name w:val="Heading 9 Char"/>
    <w:basedOn w:val="DefaultParagraphFont"/>
    <w:link w:val="Heading9"/>
    <w:uiPriority w:val="9"/>
    <w:semiHidden/>
    <w:rsid w:val="004774DC"/>
    <w:rPr>
      <w:rFonts w:ascii="Cambria" w:eastAsia="Times New Roman" w:hAnsi="Cambria" w:cs="Times New Roman"/>
      <w:i/>
      <w:iCs/>
      <w:color w:val="000000" w:themeColor="text1"/>
      <w:spacing w:val="5"/>
      <w:sz w:val="20"/>
      <w:szCs w:val="20"/>
      <w:lang w:bidi="en-US"/>
    </w:rPr>
  </w:style>
  <w:style w:type="paragraph" w:styleId="BalloonText">
    <w:name w:val="Balloon Text"/>
    <w:basedOn w:val="Normal"/>
    <w:link w:val="BalloonTextChar"/>
    <w:uiPriority w:val="99"/>
    <w:semiHidden/>
    <w:unhideWhenUsed/>
    <w:rsid w:val="004774DC"/>
    <w:pPr>
      <w:spacing w:after="210" w:line="264" w:lineRule="auto"/>
    </w:pPr>
    <w:rPr>
      <w:rFonts w:ascii="Tahoma" w:eastAsia="Times New Roman" w:hAnsi="Tahoma" w:cs="Tahoma"/>
      <w:color w:val="000000" w:themeColor="text1"/>
      <w:sz w:val="16"/>
      <w:szCs w:val="16"/>
      <w:lang w:bidi="en-US"/>
    </w:rPr>
  </w:style>
  <w:style w:type="character" w:customStyle="1" w:styleId="BalloonTextChar">
    <w:name w:val="Balloon Text Char"/>
    <w:basedOn w:val="DefaultParagraphFont"/>
    <w:link w:val="BalloonText"/>
    <w:uiPriority w:val="99"/>
    <w:semiHidden/>
    <w:rsid w:val="004774DC"/>
    <w:rPr>
      <w:rFonts w:ascii="Tahoma" w:eastAsia="Times New Roman" w:hAnsi="Tahoma" w:cs="Tahoma"/>
      <w:color w:val="000000" w:themeColor="text1"/>
      <w:sz w:val="16"/>
      <w:szCs w:val="16"/>
      <w:lang w:bidi="en-US"/>
    </w:rPr>
  </w:style>
  <w:style w:type="paragraph" w:styleId="Caption">
    <w:name w:val="caption"/>
    <w:basedOn w:val="Normal"/>
    <w:next w:val="Normal"/>
    <w:uiPriority w:val="35"/>
    <w:semiHidden/>
    <w:unhideWhenUsed/>
    <w:rsid w:val="004774DC"/>
    <w:pPr>
      <w:spacing w:after="210" w:line="264" w:lineRule="auto"/>
    </w:pPr>
    <w:rPr>
      <w:rFonts w:ascii="Rockwell Light" w:eastAsia="Times New Roman" w:hAnsi="Rockwell Light" w:cs="Times New Roman"/>
      <w:b/>
      <w:bCs/>
      <w:caps/>
      <w:color w:val="000000" w:themeColor="text1"/>
      <w:sz w:val="16"/>
      <w:szCs w:val="18"/>
      <w:lang w:bidi="en-US"/>
    </w:rPr>
  </w:style>
  <w:style w:type="character" w:styleId="Strong">
    <w:name w:val="Strong"/>
    <w:uiPriority w:val="22"/>
    <w:qFormat/>
    <w:rsid w:val="004774DC"/>
    <w:rPr>
      <w:b/>
      <w:bCs/>
    </w:rPr>
  </w:style>
  <w:style w:type="character" w:styleId="Emphasis">
    <w:name w:val="Emphasis"/>
    <w:uiPriority w:val="20"/>
    <w:qFormat/>
    <w:rsid w:val="004774DC"/>
    <w:rPr>
      <w:b/>
      <w:bCs/>
      <w:i/>
      <w:iCs/>
      <w:spacing w:val="10"/>
      <w:bdr w:val="none" w:sz="0" w:space="0" w:color="auto"/>
      <w:shd w:val="clear" w:color="auto" w:fill="auto"/>
    </w:rPr>
  </w:style>
  <w:style w:type="paragraph" w:styleId="Quote">
    <w:name w:val="Quote"/>
    <w:basedOn w:val="Normal"/>
    <w:next w:val="Normal"/>
    <w:link w:val="QuoteChar"/>
    <w:uiPriority w:val="29"/>
    <w:qFormat/>
    <w:rsid w:val="004774DC"/>
    <w:pPr>
      <w:spacing w:before="200" w:after="210" w:line="264" w:lineRule="auto"/>
      <w:ind w:left="360" w:right="360"/>
    </w:pPr>
    <w:rPr>
      <w:rFonts w:ascii="Rockwell Light" w:eastAsia="Times New Roman" w:hAnsi="Rockwell Light" w:cs="Times New Roman"/>
      <w:i/>
      <w:iCs/>
      <w:color w:val="000000" w:themeColor="text1"/>
      <w:lang w:bidi="en-US"/>
    </w:rPr>
  </w:style>
  <w:style w:type="character" w:customStyle="1" w:styleId="QuoteChar">
    <w:name w:val="Quote Char"/>
    <w:basedOn w:val="DefaultParagraphFont"/>
    <w:link w:val="Quote"/>
    <w:uiPriority w:val="29"/>
    <w:rsid w:val="004774DC"/>
    <w:rPr>
      <w:rFonts w:ascii="Rockwell Light" w:eastAsia="Times New Roman" w:hAnsi="Rockwell Light" w:cs="Times New Roman"/>
      <w:i/>
      <w:iCs/>
      <w:color w:val="000000" w:themeColor="text1"/>
      <w:sz w:val="20"/>
      <w:lang w:bidi="en-US"/>
    </w:rPr>
  </w:style>
  <w:style w:type="paragraph" w:styleId="IntenseQuote">
    <w:name w:val="Intense Quote"/>
    <w:basedOn w:val="Normal"/>
    <w:next w:val="Normal"/>
    <w:link w:val="IntenseQuoteChar"/>
    <w:uiPriority w:val="30"/>
    <w:qFormat/>
    <w:rsid w:val="004774DC"/>
    <w:pPr>
      <w:pBdr>
        <w:bottom w:val="single" w:sz="4" w:space="1" w:color="auto"/>
      </w:pBdr>
      <w:spacing w:before="200" w:after="280" w:line="264" w:lineRule="auto"/>
      <w:ind w:left="1008" w:right="1152"/>
      <w:jc w:val="both"/>
    </w:pPr>
    <w:rPr>
      <w:rFonts w:ascii="Rockwell Light" w:eastAsia="Times New Roman" w:hAnsi="Rockwell Light" w:cs="Times New Roman"/>
      <w:b/>
      <w:bCs/>
      <w:i/>
      <w:iCs/>
      <w:color w:val="000000" w:themeColor="text1"/>
      <w:lang w:bidi="en-US"/>
    </w:rPr>
  </w:style>
  <w:style w:type="character" w:customStyle="1" w:styleId="IntenseQuoteChar">
    <w:name w:val="Intense Quote Char"/>
    <w:basedOn w:val="DefaultParagraphFont"/>
    <w:link w:val="IntenseQuote"/>
    <w:uiPriority w:val="30"/>
    <w:rsid w:val="004774DC"/>
    <w:rPr>
      <w:rFonts w:ascii="Rockwell Light" w:eastAsia="Times New Roman" w:hAnsi="Rockwell Light" w:cs="Times New Roman"/>
      <w:b/>
      <w:bCs/>
      <w:i/>
      <w:iCs/>
      <w:color w:val="000000" w:themeColor="text1"/>
      <w:sz w:val="20"/>
      <w:lang w:bidi="en-US"/>
    </w:rPr>
  </w:style>
  <w:style w:type="character" w:styleId="SubtleEmphasis">
    <w:name w:val="Subtle Emphasis"/>
    <w:uiPriority w:val="19"/>
    <w:qFormat/>
    <w:rsid w:val="004774DC"/>
    <w:rPr>
      <w:i/>
      <w:iCs/>
    </w:rPr>
  </w:style>
  <w:style w:type="character" w:styleId="IntenseEmphasis">
    <w:name w:val="Intense Emphasis"/>
    <w:uiPriority w:val="21"/>
    <w:qFormat/>
    <w:rsid w:val="004774DC"/>
    <w:rPr>
      <w:b/>
      <w:bCs/>
    </w:rPr>
  </w:style>
  <w:style w:type="character" w:styleId="SubtleReference">
    <w:name w:val="Subtle Reference"/>
    <w:uiPriority w:val="31"/>
    <w:qFormat/>
    <w:rsid w:val="004774DC"/>
    <w:rPr>
      <w:smallCaps/>
    </w:rPr>
  </w:style>
  <w:style w:type="character" w:styleId="IntenseReference">
    <w:name w:val="Intense Reference"/>
    <w:uiPriority w:val="32"/>
    <w:qFormat/>
    <w:rsid w:val="004774DC"/>
    <w:rPr>
      <w:smallCaps/>
      <w:spacing w:val="5"/>
      <w:u w:val="single"/>
    </w:rPr>
  </w:style>
  <w:style w:type="character" w:styleId="BookTitle">
    <w:name w:val="Book Title"/>
    <w:uiPriority w:val="33"/>
    <w:qFormat/>
    <w:rsid w:val="004774DC"/>
    <w:rPr>
      <w:i/>
      <w:iCs/>
      <w:smallCaps/>
      <w:spacing w:val="5"/>
    </w:rPr>
  </w:style>
  <w:style w:type="paragraph" w:styleId="TOCHeading">
    <w:name w:val="TOC Heading"/>
    <w:basedOn w:val="Heading1"/>
    <w:next w:val="Normal"/>
    <w:uiPriority w:val="39"/>
    <w:unhideWhenUsed/>
    <w:qFormat/>
    <w:rsid w:val="004774DC"/>
    <w:pPr>
      <w:keepNext w:val="0"/>
      <w:keepLines w:val="0"/>
      <w:spacing w:line="264" w:lineRule="auto"/>
      <w:contextualSpacing/>
      <w:outlineLvl w:val="9"/>
    </w:pPr>
    <w:rPr>
      <w:rFonts w:eastAsia="Times New Roman" w:cs="Times New Roman"/>
      <w:b w:val="0"/>
      <w:bCs/>
      <w:szCs w:val="28"/>
      <w:lang w:bidi="en-US"/>
    </w:rPr>
  </w:style>
  <w:style w:type="paragraph" w:styleId="TOC2">
    <w:name w:val="toc 2"/>
    <w:basedOn w:val="Normal"/>
    <w:next w:val="Normal"/>
    <w:autoRedefine/>
    <w:uiPriority w:val="39"/>
    <w:unhideWhenUsed/>
    <w:rsid w:val="004774DC"/>
    <w:pPr>
      <w:tabs>
        <w:tab w:val="left" w:pos="567"/>
        <w:tab w:val="right" w:pos="9072"/>
      </w:tabs>
      <w:spacing w:after="210" w:line="264" w:lineRule="auto"/>
    </w:pPr>
    <w:rPr>
      <w:rFonts w:ascii="Rockwell Light" w:eastAsia="Times New Roman" w:hAnsi="Rockwell Light" w:cs="Times New Roman"/>
      <w:color w:val="000000" w:themeColor="text1"/>
      <w:lang w:bidi="en-US"/>
    </w:rPr>
  </w:style>
  <w:style w:type="paragraph" w:styleId="TOC3">
    <w:name w:val="toc 3"/>
    <w:basedOn w:val="Normal"/>
    <w:next w:val="Normal"/>
    <w:autoRedefine/>
    <w:uiPriority w:val="39"/>
    <w:unhideWhenUsed/>
    <w:rsid w:val="004774DC"/>
    <w:pPr>
      <w:tabs>
        <w:tab w:val="left" w:pos="567"/>
        <w:tab w:val="right" w:pos="9072"/>
      </w:tabs>
      <w:spacing w:after="210" w:line="264" w:lineRule="auto"/>
    </w:pPr>
    <w:rPr>
      <w:rFonts w:ascii="Rockwell Light" w:eastAsia="Times New Roman" w:hAnsi="Rockwell Light" w:cs="Times New Roman"/>
      <w:color w:val="000000" w:themeColor="text1"/>
      <w:lang w:bidi="en-US"/>
    </w:rPr>
  </w:style>
  <w:style w:type="paragraph" w:customStyle="1" w:styleId="AppendixHeading">
    <w:name w:val="Appendix Heading"/>
    <w:next w:val="Normal"/>
    <w:link w:val="AppendixHeadingChar"/>
    <w:autoRedefine/>
    <w:qFormat/>
    <w:rsid w:val="004774DC"/>
    <w:pPr>
      <w:numPr>
        <w:ilvl w:val="3"/>
        <w:numId w:val="14"/>
      </w:numPr>
      <w:spacing w:after="210" w:line="264" w:lineRule="auto"/>
    </w:pPr>
    <w:rPr>
      <w:rFonts w:ascii="Calibri" w:eastAsia="Times New Roman" w:hAnsi="Calibri" w:cs="Times New Roman"/>
      <w:b/>
      <w:bCs/>
      <w:color w:val="46DCDC" w:themeColor="accent1"/>
      <w:sz w:val="32"/>
      <w:szCs w:val="28"/>
      <w:lang w:val="en-US" w:bidi="en-US"/>
    </w:rPr>
  </w:style>
  <w:style w:type="character" w:customStyle="1" w:styleId="AppendixHeadingChar">
    <w:name w:val="Appendix Heading Char"/>
    <w:basedOn w:val="Heading1Char"/>
    <w:link w:val="AppendixHeading"/>
    <w:rsid w:val="004774DC"/>
    <w:rPr>
      <w:rFonts w:ascii="Calibri" w:eastAsia="Times New Roman" w:hAnsi="Calibri" w:cs="Times New Roman"/>
      <w:b/>
      <w:bCs/>
      <w:color w:val="46DCDC" w:themeColor="accent1"/>
      <w:sz w:val="32"/>
      <w:szCs w:val="28"/>
      <w:lang w:val="en-US" w:bidi="en-US"/>
    </w:rPr>
  </w:style>
  <w:style w:type="character" w:styleId="CommentReference">
    <w:name w:val="annotation reference"/>
    <w:basedOn w:val="DefaultParagraphFont"/>
    <w:uiPriority w:val="99"/>
    <w:semiHidden/>
    <w:unhideWhenUsed/>
    <w:rsid w:val="004774DC"/>
    <w:rPr>
      <w:sz w:val="16"/>
      <w:szCs w:val="16"/>
    </w:rPr>
  </w:style>
  <w:style w:type="paragraph" w:styleId="CommentText">
    <w:name w:val="annotation text"/>
    <w:basedOn w:val="Normal"/>
    <w:link w:val="CommentTextChar"/>
    <w:uiPriority w:val="99"/>
    <w:unhideWhenUsed/>
    <w:rsid w:val="004774DC"/>
    <w:pPr>
      <w:spacing w:after="210" w:line="264" w:lineRule="auto"/>
    </w:pPr>
    <w:rPr>
      <w:rFonts w:ascii="Rockwell Light" w:eastAsia="Times New Roman" w:hAnsi="Rockwell Light" w:cs="Times New Roman"/>
      <w:color w:val="000000" w:themeColor="text1"/>
      <w:szCs w:val="20"/>
      <w:lang w:bidi="en-US"/>
    </w:rPr>
  </w:style>
  <w:style w:type="character" w:customStyle="1" w:styleId="CommentTextChar">
    <w:name w:val="Comment Text Char"/>
    <w:basedOn w:val="DefaultParagraphFont"/>
    <w:link w:val="CommentText"/>
    <w:uiPriority w:val="99"/>
    <w:rsid w:val="004774DC"/>
    <w:rPr>
      <w:rFonts w:ascii="Rockwell Light" w:eastAsia="Times New Roman" w:hAnsi="Rockwell Light" w:cs="Times New Roman"/>
      <w:color w:val="000000" w:themeColor="text1"/>
      <w:sz w:val="20"/>
      <w:szCs w:val="20"/>
      <w:lang w:bidi="en-US"/>
    </w:rPr>
  </w:style>
  <w:style w:type="paragraph" w:styleId="CommentSubject">
    <w:name w:val="annotation subject"/>
    <w:basedOn w:val="CommentText"/>
    <w:next w:val="CommentText"/>
    <w:link w:val="CommentSubjectChar"/>
    <w:uiPriority w:val="99"/>
    <w:semiHidden/>
    <w:unhideWhenUsed/>
    <w:rsid w:val="004774DC"/>
    <w:rPr>
      <w:b/>
      <w:bCs/>
    </w:rPr>
  </w:style>
  <w:style w:type="character" w:customStyle="1" w:styleId="CommentSubjectChar">
    <w:name w:val="Comment Subject Char"/>
    <w:basedOn w:val="CommentTextChar"/>
    <w:link w:val="CommentSubject"/>
    <w:uiPriority w:val="99"/>
    <w:semiHidden/>
    <w:rsid w:val="004774DC"/>
    <w:rPr>
      <w:rFonts w:ascii="Rockwell Light" w:eastAsia="Times New Roman" w:hAnsi="Rockwell Light" w:cs="Times New Roman"/>
      <w:b/>
      <w:bCs/>
      <w:color w:val="000000" w:themeColor="text1"/>
      <w:sz w:val="20"/>
      <w:szCs w:val="20"/>
      <w:lang w:bidi="en-US"/>
    </w:rPr>
  </w:style>
  <w:style w:type="paragraph" w:customStyle="1" w:styleId="CoverPage-Title">
    <w:name w:val="Cover Page - Title"/>
    <w:basedOn w:val="NoSpacing"/>
    <w:autoRedefine/>
    <w:qFormat/>
    <w:rsid w:val="004774DC"/>
    <w:pPr>
      <w:framePr w:hSpace="187" w:wrap="around" w:vAnchor="page" w:hAnchor="margin" w:xAlign="right" w:y="5654"/>
    </w:pPr>
    <w:rPr>
      <w:rFonts w:eastAsiaTheme="majorEastAsia" w:cstheme="majorBidi"/>
      <w:b/>
      <w:color w:val="46DCDC" w:themeColor="accent1"/>
      <w:sz w:val="32"/>
      <w:szCs w:val="36"/>
      <w:lang w:val="en-GB" w:bidi="en-US"/>
    </w:rPr>
  </w:style>
  <w:style w:type="paragraph" w:customStyle="1" w:styleId="CoverPage-Date">
    <w:name w:val="Cover Page - Date"/>
    <w:basedOn w:val="NoSpacing"/>
    <w:autoRedefine/>
    <w:qFormat/>
    <w:rsid w:val="004774DC"/>
    <w:pPr>
      <w:framePr w:hSpace="187" w:wrap="around" w:vAnchor="page" w:hAnchor="margin" w:xAlign="right" w:y="5654"/>
      <w:ind w:left="-472"/>
    </w:pPr>
    <w:rPr>
      <w:rFonts w:eastAsiaTheme="majorEastAsia" w:cstheme="majorBidi"/>
      <w:b/>
      <w:color w:val="000000" w:themeColor="text1"/>
      <w:sz w:val="32"/>
      <w:szCs w:val="40"/>
      <w:lang w:val="en-GB" w:bidi="en-US"/>
    </w:rPr>
  </w:style>
  <w:style w:type="table" w:customStyle="1" w:styleId="PlainTable31">
    <w:name w:val="Plain Table 31"/>
    <w:basedOn w:val="TableNormal"/>
    <w:uiPriority w:val="43"/>
    <w:rsid w:val="004774DC"/>
    <w:pPr>
      <w:spacing w:after="0" w:line="240" w:lineRule="auto"/>
    </w:pPr>
    <w:rPr>
      <w:rFonts w:ascii="Calibri" w:eastAsia="Times New Roman" w:hAnsi="Calibri" w:cs="Times New Roman"/>
      <w:sz w:val="20"/>
      <w:szCs w:val="20"/>
    </w:rPr>
    <w:tblPr>
      <w:tblStyleRowBandSize w:val="1"/>
      <w:tblStyleColBandSize w:val="1"/>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tblStylePr w:type="firstRow">
      <w:rPr>
        <w:b/>
        <w:bCs/>
        <w:caps/>
      </w:rPr>
      <w:tblPr/>
      <w:tcPr>
        <w:tcBorders>
          <w:bottom w:val="nil"/>
        </w:tcBorders>
      </w:tcPr>
    </w:tblStylePr>
    <w:tblStylePr w:type="lastRow">
      <w:rPr>
        <w:b/>
        <w:bCs/>
        <w:caps/>
      </w:rPr>
      <w:tblPr/>
      <w:tcPr>
        <w:tcBorders>
          <w:top w:val="nil"/>
        </w:tcBorders>
      </w:tcPr>
    </w:tblStylePr>
    <w:tblStylePr w:type="firstCol">
      <w:rPr>
        <w:b/>
        <w:bCs/>
        <w:caps/>
      </w:rPr>
      <w:tblPr/>
      <w:tcPr>
        <w:tcBorders>
          <w:right w:val="single" w:sz="6" w:space="0" w:color="FFFFFF" w:themeColor="background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Header-Copyright">
    <w:name w:val="Header - Copyright"/>
    <w:basedOn w:val="Normal"/>
    <w:link w:val="Header-CopyrightChar"/>
    <w:autoRedefine/>
    <w:qFormat/>
    <w:rsid w:val="004774DC"/>
    <w:pPr>
      <w:spacing w:after="0" w:line="240" w:lineRule="auto"/>
      <w:jc w:val="right"/>
    </w:pPr>
    <w:rPr>
      <w:rFonts w:eastAsia="Times New Roman" w:cs="Times New Roman"/>
      <w:color w:val="808080" w:themeColor="background1" w:themeShade="80"/>
      <w:sz w:val="18"/>
      <w:szCs w:val="72"/>
      <w:lang w:bidi="en-US"/>
    </w:rPr>
  </w:style>
  <w:style w:type="paragraph" w:customStyle="1" w:styleId="Footer-PageNumber">
    <w:name w:val="Footer - Page Number"/>
    <w:basedOn w:val="Footer"/>
    <w:next w:val="Footer-Title0"/>
    <w:link w:val="Footer-PageNumberChar"/>
    <w:autoRedefine/>
    <w:qFormat/>
    <w:rsid w:val="004774DC"/>
    <w:pPr>
      <w:jc w:val="right"/>
    </w:pPr>
    <w:rPr>
      <w:rFonts w:eastAsiaTheme="minorEastAsia"/>
      <w:b/>
      <w:color w:val="46DCDC" w:themeColor="accent1"/>
      <w:sz w:val="16"/>
      <w:szCs w:val="16"/>
      <w:lang w:bidi="en-US"/>
    </w:rPr>
  </w:style>
  <w:style w:type="paragraph" w:customStyle="1" w:styleId="Footer-Title0">
    <w:name w:val="Footer - Title"/>
    <w:basedOn w:val="Footer-PageNumber"/>
    <w:link w:val="Footer-TitleChar"/>
    <w:qFormat/>
    <w:rsid w:val="004774DC"/>
    <w:rPr>
      <w:bCs/>
      <w:caps/>
      <w:color w:val="000000" w:themeColor="text1"/>
    </w:rPr>
  </w:style>
  <w:style w:type="table" w:customStyle="1" w:styleId="ATEBTable">
    <w:name w:val="ATEB Table"/>
    <w:basedOn w:val="TableNormal"/>
    <w:uiPriority w:val="99"/>
    <w:rsid w:val="004774DC"/>
    <w:pPr>
      <w:spacing w:after="210" w:line="240" w:lineRule="auto"/>
      <w:contextualSpacing/>
    </w:pPr>
    <w:rPr>
      <w:rFonts w:ascii="Calibri" w:eastAsia="Times New Roman" w:hAnsi="Calibri" w:cs="Times New Roman"/>
      <w:sz w:val="20"/>
      <w:szCs w:val="20"/>
    </w:rPr>
    <w:tblPr>
      <w:tblStyleRowBandSize w:val="1"/>
      <w:tblBorders>
        <w:insideH w:val="single" w:sz="24" w:space="0" w:color="FFFFFF"/>
        <w:insideV w:val="single" w:sz="24" w:space="0" w:color="FFFFFF"/>
      </w:tblBorders>
      <w:tblCellMar>
        <w:top w:w="57" w:type="dxa"/>
        <w:left w:w="113" w:type="dxa"/>
        <w:bottom w:w="57" w:type="dxa"/>
        <w:right w:w="113" w:type="dxa"/>
      </w:tblCellMar>
    </w:tblPr>
    <w:tcPr>
      <w:shd w:val="clear" w:color="auto" w:fill="FFFFFF" w:themeFill="background1"/>
    </w:tcPr>
    <w:tblStylePr w:type="firstRow">
      <w:pPr>
        <w:jc w:val="center"/>
      </w:pPr>
      <w:rPr>
        <w:rFonts w:ascii="Arial" w:hAnsi="Arial"/>
        <w:b/>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b/>
      </w:rPr>
    </w:tblStylePr>
    <w:tblStylePr w:type="lastCol">
      <w:rPr>
        <w:b/>
      </w:rPr>
    </w:tblStylePr>
    <w:tblStylePr w:type="band1Horz">
      <w:tblPr/>
      <w:tcPr>
        <w:shd w:val="clear" w:color="auto" w:fill="E7E6E6" w:themeFill="background2"/>
      </w:tcPr>
    </w:tblStylePr>
    <w:tblStylePr w:type="band2Horz">
      <w:tblPr/>
      <w:tcPr>
        <w:shd w:val="clear" w:color="auto" w:fill="FFFFFF" w:themeFill="background1"/>
      </w:tcPr>
    </w:tblStylePr>
  </w:style>
  <w:style w:type="paragraph" w:styleId="BodyText">
    <w:name w:val="Body Text"/>
    <w:basedOn w:val="Normal"/>
    <w:link w:val="BodyTextChar"/>
    <w:uiPriority w:val="1"/>
    <w:qFormat/>
    <w:rsid w:val="004774DC"/>
    <w:pPr>
      <w:spacing w:after="0" w:line="240" w:lineRule="auto"/>
      <w:jc w:val="both"/>
    </w:pPr>
    <w:rPr>
      <w:rFonts w:eastAsia="Times New Roman" w:cs="Arial"/>
      <w:bCs/>
      <w:color w:val="000000" w:themeColor="text1"/>
      <w:sz w:val="24"/>
      <w:szCs w:val="32"/>
      <w:lang w:eastAsia="en-GB"/>
    </w:rPr>
  </w:style>
  <w:style w:type="character" w:customStyle="1" w:styleId="BodyTextChar">
    <w:name w:val="Body Text Char"/>
    <w:basedOn w:val="DefaultParagraphFont"/>
    <w:link w:val="BodyText"/>
    <w:uiPriority w:val="1"/>
    <w:rsid w:val="004774DC"/>
    <w:rPr>
      <w:rFonts w:ascii="Arial" w:eastAsia="Times New Roman" w:hAnsi="Arial" w:cs="Arial"/>
      <w:bCs/>
      <w:color w:val="000000" w:themeColor="text1"/>
      <w:sz w:val="24"/>
      <w:szCs w:val="32"/>
      <w:lang w:eastAsia="en-GB"/>
    </w:rPr>
  </w:style>
  <w:style w:type="paragraph" w:styleId="BodyText2">
    <w:name w:val="Body Text 2"/>
    <w:basedOn w:val="Normal"/>
    <w:link w:val="BodyText2Char"/>
    <w:semiHidden/>
    <w:rsid w:val="004774DC"/>
    <w:pPr>
      <w:spacing w:after="0" w:line="240" w:lineRule="auto"/>
      <w:jc w:val="both"/>
    </w:pPr>
    <w:rPr>
      <w:rFonts w:eastAsia="Times New Roman" w:cs="Arial"/>
      <w:color w:val="FF0000"/>
      <w:sz w:val="24"/>
      <w:szCs w:val="24"/>
      <w:lang w:eastAsia="en-GB"/>
    </w:rPr>
  </w:style>
  <w:style w:type="character" w:customStyle="1" w:styleId="BodyText2Char">
    <w:name w:val="Body Text 2 Char"/>
    <w:basedOn w:val="DefaultParagraphFont"/>
    <w:link w:val="BodyText2"/>
    <w:semiHidden/>
    <w:rsid w:val="004774DC"/>
    <w:rPr>
      <w:rFonts w:ascii="Arial" w:eastAsia="Times New Roman" w:hAnsi="Arial" w:cs="Arial"/>
      <w:color w:val="FF0000"/>
      <w:sz w:val="24"/>
      <w:szCs w:val="24"/>
      <w:lang w:eastAsia="en-GB"/>
    </w:rPr>
  </w:style>
  <w:style w:type="paragraph" w:styleId="BodyText3">
    <w:name w:val="Body Text 3"/>
    <w:basedOn w:val="Normal"/>
    <w:link w:val="BodyText3Char"/>
    <w:semiHidden/>
    <w:rsid w:val="004774DC"/>
    <w:pPr>
      <w:spacing w:after="120" w:line="240" w:lineRule="auto"/>
    </w:pPr>
    <w:rPr>
      <w:rFonts w:ascii="Times New Roman" w:eastAsia="Times New Roman" w:hAnsi="Times New Roman" w:cs="Times New Roman"/>
      <w:color w:val="000000" w:themeColor="text1"/>
      <w:sz w:val="16"/>
      <w:szCs w:val="16"/>
      <w:lang w:eastAsia="en-GB"/>
    </w:rPr>
  </w:style>
  <w:style w:type="character" w:customStyle="1" w:styleId="BodyText3Char">
    <w:name w:val="Body Text 3 Char"/>
    <w:basedOn w:val="DefaultParagraphFont"/>
    <w:link w:val="BodyText3"/>
    <w:semiHidden/>
    <w:rsid w:val="004774DC"/>
    <w:rPr>
      <w:rFonts w:ascii="Times New Roman" w:eastAsia="Times New Roman" w:hAnsi="Times New Roman" w:cs="Times New Roman"/>
      <w:color w:val="000000" w:themeColor="text1"/>
      <w:sz w:val="16"/>
      <w:szCs w:val="16"/>
      <w:lang w:eastAsia="en-GB"/>
    </w:rPr>
  </w:style>
  <w:style w:type="paragraph" w:styleId="BodyTextIndent">
    <w:name w:val="Body Text Indent"/>
    <w:basedOn w:val="Normal"/>
    <w:link w:val="BodyTextIndentChar"/>
    <w:semiHidden/>
    <w:rsid w:val="004774DC"/>
    <w:pPr>
      <w:spacing w:after="0" w:line="240" w:lineRule="auto"/>
      <w:ind w:left="720" w:hanging="720"/>
    </w:pPr>
    <w:rPr>
      <w:rFonts w:ascii="Tahoma" w:eastAsia="Times New Roman" w:hAnsi="Tahoma" w:cs="Tahoma"/>
      <w:color w:val="000000" w:themeColor="text1"/>
      <w:sz w:val="24"/>
      <w:szCs w:val="24"/>
    </w:rPr>
  </w:style>
  <w:style w:type="character" w:customStyle="1" w:styleId="BodyTextIndentChar">
    <w:name w:val="Body Text Indent Char"/>
    <w:basedOn w:val="DefaultParagraphFont"/>
    <w:link w:val="BodyTextIndent"/>
    <w:semiHidden/>
    <w:rsid w:val="004774DC"/>
    <w:rPr>
      <w:rFonts w:ascii="Tahoma" w:eastAsia="Times New Roman" w:hAnsi="Tahoma" w:cs="Tahoma"/>
      <w:color w:val="000000" w:themeColor="text1"/>
      <w:sz w:val="24"/>
      <w:szCs w:val="24"/>
    </w:rPr>
  </w:style>
  <w:style w:type="paragraph" w:customStyle="1" w:styleId="Footer-SubTitle">
    <w:name w:val="Footer - Sub Title"/>
    <w:basedOn w:val="Footer-PageNumber"/>
    <w:link w:val="Footer-SubTitleChar"/>
    <w:autoRedefine/>
    <w:qFormat/>
    <w:rsid w:val="004774DC"/>
    <w:rPr>
      <w:lang w:eastAsia="en-GB"/>
    </w:rPr>
  </w:style>
  <w:style w:type="character" w:customStyle="1" w:styleId="Footer-PageNumberChar">
    <w:name w:val="Footer - Page Number Char"/>
    <w:basedOn w:val="FooterChar"/>
    <w:link w:val="Footer-PageNumber"/>
    <w:rsid w:val="004774DC"/>
    <w:rPr>
      <w:rFonts w:ascii="Arial" w:eastAsiaTheme="minorEastAsia" w:hAnsi="Arial"/>
      <w:b/>
      <w:color w:val="46DCDC" w:themeColor="accent1"/>
      <w:sz w:val="16"/>
      <w:szCs w:val="16"/>
      <w:lang w:bidi="en-US"/>
    </w:rPr>
  </w:style>
  <w:style w:type="paragraph" w:styleId="NormalWeb">
    <w:name w:val="Normal (Web)"/>
    <w:basedOn w:val="Normal"/>
    <w:uiPriority w:val="99"/>
    <w:unhideWhenUsed/>
    <w:rsid w:val="004774DC"/>
    <w:pPr>
      <w:spacing w:before="100" w:beforeAutospacing="1" w:after="100" w:afterAutospacing="1" w:line="240" w:lineRule="auto"/>
    </w:pPr>
    <w:rPr>
      <w:rFonts w:ascii="Times New Roman" w:eastAsia="Times New Roman" w:hAnsi="Times New Roman" w:cs="Times New Roman"/>
      <w:color w:val="000000" w:themeColor="text1"/>
      <w:sz w:val="24"/>
      <w:szCs w:val="24"/>
      <w:lang w:eastAsia="en-GB"/>
    </w:rPr>
  </w:style>
  <w:style w:type="character" w:customStyle="1" w:styleId="Footer-SubTitleChar">
    <w:name w:val="Footer - Sub Title Char"/>
    <w:basedOn w:val="Footer-PageNumberChar"/>
    <w:link w:val="Footer-SubTitle"/>
    <w:rsid w:val="004774DC"/>
    <w:rPr>
      <w:rFonts w:ascii="Arial" w:eastAsiaTheme="minorEastAsia" w:hAnsi="Arial"/>
      <w:b/>
      <w:color w:val="46DCDC" w:themeColor="accent1"/>
      <w:sz w:val="16"/>
      <w:szCs w:val="16"/>
      <w:lang w:eastAsia="en-GB" w:bidi="en-US"/>
    </w:rPr>
  </w:style>
  <w:style w:type="character" w:customStyle="1" w:styleId="Footer-TitleChar">
    <w:name w:val="Footer - Title Char"/>
    <w:basedOn w:val="Footer-PageNumberChar"/>
    <w:link w:val="Footer-Title0"/>
    <w:rsid w:val="004774DC"/>
    <w:rPr>
      <w:rFonts w:ascii="Arial" w:eastAsiaTheme="minorEastAsia" w:hAnsi="Arial"/>
      <w:b/>
      <w:bCs/>
      <w:caps/>
      <w:color w:val="000000" w:themeColor="text1"/>
      <w:sz w:val="16"/>
      <w:szCs w:val="16"/>
      <w:lang w:bidi="en-US"/>
    </w:rPr>
  </w:style>
  <w:style w:type="character" w:styleId="FollowedHyperlink">
    <w:name w:val="FollowedHyperlink"/>
    <w:basedOn w:val="DefaultParagraphFont"/>
    <w:uiPriority w:val="99"/>
    <w:semiHidden/>
    <w:unhideWhenUsed/>
    <w:rsid w:val="004774DC"/>
    <w:rPr>
      <w:color w:val="954F72" w:themeColor="followedHyperlink"/>
      <w:u w:val="single"/>
    </w:rPr>
  </w:style>
  <w:style w:type="paragraph" w:styleId="ListBullet">
    <w:name w:val="List Bullet"/>
    <w:basedOn w:val="Normal"/>
    <w:next w:val="Normal"/>
    <w:autoRedefine/>
    <w:uiPriority w:val="99"/>
    <w:unhideWhenUsed/>
    <w:qFormat/>
    <w:rsid w:val="003F5EA7"/>
    <w:pPr>
      <w:numPr>
        <w:numId w:val="16"/>
      </w:numPr>
      <w:spacing w:after="210" w:line="264" w:lineRule="auto"/>
      <w:contextualSpacing/>
    </w:pPr>
    <w:rPr>
      <w:rFonts w:eastAsia="Times New Roman" w:cs="Arial"/>
      <w:color w:val="000000" w:themeColor="text1"/>
      <w:szCs w:val="20"/>
      <w:lang w:bidi="en-US"/>
    </w:rPr>
  </w:style>
  <w:style w:type="paragraph" w:styleId="ListNumber">
    <w:name w:val="List Number"/>
    <w:basedOn w:val="ListBullet"/>
    <w:next w:val="Normal"/>
    <w:uiPriority w:val="99"/>
    <w:unhideWhenUsed/>
    <w:qFormat/>
    <w:rsid w:val="004774DC"/>
    <w:pPr>
      <w:numPr>
        <w:numId w:val="17"/>
      </w:numPr>
    </w:pPr>
  </w:style>
  <w:style w:type="character" w:customStyle="1" w:styleId="UnresolvedMention1">
    <w:name w:val="Unresolved Mention1"/>
    <w:basedOn w:val="DefaultParagraphFont"/>
    <w:uiPriority w:val="99"/>
    <w:semiHidden/>
    <w:unhideWhenUsed/>
    <w:rsid w:val="004774DC"/>
    <w:rPr>
      <w:color w:val="605E5C"/>
      <w:shd w:val="clear" w:color="auto" w:fill="E1DFDD"/>
    </w:rPr>
  </w:style>
  <w:style w:type="table" w:customStyle="1" w:styleId="GridTable5Dark-Accent11">
    <w:name w:val="Grid Table 5 Dark - Accent 11"/>
    <w:basedOn w:val="TableNormal"/>
    <w:uiPriority w:val="50"/>
    <w:rsid w:val="004774DC"/>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DCD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DCD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DCD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DCDC" w:themeFill="accent1"/>
      </w:tcPr>
    </w:tblStylePr>
    <w:tblStylePr w:type="band1Vert">
      <w:tblPr/>
      <w:tcPr>
        <w:shd w:val="clear" w:color="auto" w:fill="B5F1F1" w:themeFill="accent1" w:themeFillTint="66"/>
      </w:tcPr>
    </w:tblStylePr>
    <w:tblStylePr w:type="band1Horz">
      <w:tblPr/>
      <w:tcPr>
        <w:shd w:val="clear" w:color="auto" w:fill="B5F1F1" w:themeFill="accent1" w:themeFillTint="66"/>
      </w:tcPr>
    </w:tblStylePr>
  </w:style>
  <w:style w:type="paragraph" w:customStyle="1" w:styleId="Header-Classification">
    <w:name w:val="Header - Classification"/>
    <w:basedOn w:val="Header-Copyright"/>
    <w:link w:val="Header-ClassificationChar"/>
    <w:qFormat/>
    <w:rsid w:val="004774DC"/>
    <w:rPr>
      <w:b/>
      <w:bCs/>
      <w:color w:val="46DCDC" w:themeColor="accent1"/>
      <w:sz w:val="16"/>
    </w:rPr>
  </w:style>
  <w:style w:type="character" w:customStyle="1" w:styleId="Header-CopyrightChar">
    <w:name w:val="Header - Copyright Char"/>
    <w:basedOn w:val="DefaultParagraphFont"/>
    <w:link w:val="Header-Copyright"/>
    <w:rsid w:val="004774DC"/>
    <w:rPr>
      <w:rFonts w:ascii="Arial" w:eastAsia="Times New Roman" w:hAnsi="Arial" w:cs="Times New Roman"/>
      <w:color w:val="808080" w:themeColor="background1" w:themeShade="80"/>
      <w:sz w:val="18"/>
      <w:szCs w:val="72"/>
      <w:lang w:bidi="en-US"/>
    </w:rPr>
  </w:style>
  <w:style w:type="character" w:customStyle="1" w:styleId="Header-ClassificationChar">
    <w:name w:val="Header - Classification Char"/>
    <w:basedOn w:val="Header-CopyrightChar"/>
    <w:link w:val="Header-Classification"/>
    <w:rsid w:val="004774DC"/>
    <w:rPr>
      <w:rFonts w:ascii="Arial" w:eastAsia="Times New Roman" w:hAnsi="Arial" w:cs="Times New Roman"/>
      <w:b/>
      <w:bCs/>
      <w:color w:val="46DCDC" w:themeColor="accent1"/>
      <w:sz w:val="16"/>
      <w:szCs w:val="72"/>
      <w:lang w:bidi="en-US"/>
    </w:rPr>
  </w:style>
  <w:style w:type="paragraph" w:customStyle="1" w:styleId="Table-HeaderRow">
    <w:name w:val="Table - Header Row"/>
    <w:basedOn w:val="Normal"/>
    <w:qFormat/>
    <w:rsid w:val="004774DC"/>
    <w:pPr>
      <w:spacing w:after="0" w:line="240" w:lineRule="auto"/>
      <w:contextualSpacing/>
      <w:jc w:val="center"/>
    </w:pPr>
    <w:rPr>
      <w:rFonts w:eastAsia="Times New Roman" w:cs="Times New Roman"/>
      <w:b/>
      <w:caps/>
      <w:color w:val="FFFFFF" w:themeColor="background1"/>
      <w:sz w:val="18"/>
      <w:lang w:bidi="en-US"/>
    </w:rPr>
  </w:style>
  <w:style w:type="paragraph" w:customStyle="1" w:styleId="CoverPage-Details">
    <w:name w:val="Cover Page - Details"/>
    <w:basedOn w:val="NoSpacing"/>
    <w:qFormat/>
    <w:rsid w:val="004774DC"/>
    <w:pPr>
      <w:framePr w:hSpace="187" w:wrap="around" w:vAnchor="page" w:hAnchor="margin" w:xAlign="right" w:y="5654"/>
      <w:ind w:left="-472"/>
    </w:pPr>
    <w:rPr>
      <w:color w:val="767171" w:themeColor="background2" w:themeShade="80"/>
      <w:sz w:val="18"/>
      <w:lang w:val="en-GB" w:bidi="en-US"/>
    </w:rPr>
  </w:style>
  <w:style w:type="character" w:styleId="PlaceholderText">
    <w:name w:val="Placeholder Text"/>
    <w:basedOn w:val="DefaultParagraphFont"/>
    <w:uiPriority w:val="99"/>
    <w:semiHidden/>
    <w:rsid w:val="004774DC"/>
    <w:rPr>
      <w:color w:val="808080"/>
    </w:rPr>
  </w:style>
  <w:style w:type="paragraph" w:customStyle="1" w:styleId="Table-FirstColumn">
    <w:name w:val="Table - First Column"/>
    <w:basedOn w:val="Table-HeaderRow"/>
    <w:qFormat/>
    <w:rsid w:val="004774DC"/>
    <w:pPr>
      <w:jc w:val="left"/>
    </w:pPr>
    <w:rPr>
      <w:caps w:val="0"/>
      <w:color w:val="46DCDC" w:themeColor="accent1"/>
    </w:rPr>
  </w:style>
  <w:style w:type="table" w:customStyle="1" w:styleId="ATEBTable2">
    <w:name w:val="ATEB Table 2"/>
    <w:basedOn w:val="ATEBTable"/>
    <w:uiPriority w:val="99"/>
    <w:rsid w:val="004774DC"/>
    <w:tblPr>
      <w:tblStyleColBandSize w:val="1"/>
    </w:tblPr>
    <w:tblStylePr w:type="firstRow">
      <w:pPr>
        <w:jc w:val="center"/>
      </w:pPr>
      <w:rPr>
        <w:rFonts w:ascii="Arial" w:hAnsi="Arial"/>
        <w:b w:val="0"/>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rFonts w:ascii="Arial" w:hAnsi="Arial"/>
        <w:b w:val="0"/>
        <w:color w:val="FFFFFF" w:themeColor="background1"/>
        <w:sz w:val="20"/>
      </w:rPr>
      <w:tblPr/>
      <w:tcPr>
        <w:shd w:val="clear" w:color="auto" w:fill="46DCDC" w:themeFill="accent1"/>
      </w:tcPr>
    </w:tblStylePr>
    <w:tblStylePr w:type="lastCol">
      <w:rPr>
        <w:b/>
      </w:rPr>
    </w:tblStylePr>
    <w:tblStylePr w:type="band2Vert">
      <w:tblPr/>
      <w:tcPr>
        <w:shd w:val="clear" w:color="auto" w:fill="46DCDC" w:themeFill="accent1"/>
      </w:tcPr>
    </w:tblStylePr>
    <w:tblStylePr w:type="band1Horz">
      <w:tblPr/>
      <w:tcPr>
        <w:shd w:val="clear" w:color="auto" w:fill="E7E6E6" w:themeFill="background2"/>
      </w:tcPr>
    </w:tblStylePr>
    <w:tblStylePr w:type="band2Horz">
      <w:tblPr/>
      <w:tcPr>
        <w:shd w:val="clear" w:color="auto" w:fill="FFFFFF" w:themeFill="background1"/>
      </w:tcPr>
    </w:tblStylePr>
  </w:style>
  <w:style w:type="paragraph" w:customStyle="1" w:styleId="Memo-TitleBody">
    <w:name w:val="Memo - Title (Body)"/>
    <w:qFormat/>
    <w:rsid w:val="004774DC"/>
    <w:pPr>
      <w:spacing w:after="0" w:line="240" w:lineRule="auto"/>
      <w:jc w:val="right"/>
    </w:pPr>
    <w:rPr>
      <w:rFonts w:ascii="Arial" w:eastAsia="Times New Roman" w:hAnsi="Arial" w:cs="Times New Roman"/>
      <w:b/>
      <w:bCs/>
      <w:caps/>
      <w:color w:val="000000" w:themeColor="text1"/>
      <w:sz w:val="20"/>
      <w:szCs w:val="20"/>
      <w:lang w:bidi="en-US"/>
    </w:rPr>
  </w:style>
  <w:style w:type="paragraph" w:customStyle="1" w:styleId="Memo-TitleHeader">
    <w:name w:val="Memo - Title (Header)"/>
    <w:basedOn w:val="Header-Copyright"/>
    <w:link w:val="Memo-TitleHeaderChar"/>
    <w:qFormat/>
    <w:rsid w:val="004774DC"/>
    <w:rPr>
      <w:b/>
      <w:caps/>
      <w:color w:val="46DCDC" w:themeColor="accent1"/>
      <w:sz w:val="52"/>
      <w:szCs w:val="52"/>
    </w:rPr>
  </w:style>
  <w:style w:type="character" w:customStyle="1" w:styleId="Memo-TitleHeaderChar">
    <w:name w:val="Memo - Title (Header) Char"/>
    <w:basedOn w:val="Header-CopyrightChar"/>
    <w:link w:val="Memo-TitleHeader"/>
    <w:rsid w:val="004774DC"/>
    <w:rPr>
      <w:rFonts w:ascii="Arial" w:eastAsia="Times New Roman" w:hAnsi="Arial" w:cs="Times New Roman"/>
      <w:b/>
      <w:caps/>
      <w:color w:val="46DCDC" w:themeColor="accent1"/>
      <w:sz w:val="52"/>
      <w:szCs w:val="52"/>
      <w:lang w:bidi="en-US"/>
    </w:rPr>
  </w:style>
  <w:style w:type="table" w:customStyle="1" w:styleId="PlainTable41">
    <w:name w:val="Plain Table 41"/>
    <w:basedOn w:val="TableNormal"/>
    <w:uiPriority w:val="44"/>
    <w:rsid w:val="004774DC"/>
    <w:pPr>
      <w:spacing w:after="0" w:line="240" w:lineRule="auto"/>
    </w:pPr>
    <w:rPr>
      <w:rFonts w:ascii="Calibri" w:eastAsia="Times New Roman" w:hAnsi="Calibri"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2-FirstColumn">
    <w:name w:val="Table 2 - First Column"/>
    <w:basedOn w:val="Table-FirstColumn"/>
    <w:qFormat/>
    <w:rsid w:val="004774DC"/>
    <w:rPr>
      <w:caps/>
      <w:color w:val="FFFFFF" w:themeColor="background1"/>
      <w:lang w:val="en-US"/>
    </w:rPr>
  </w:style>
  <w:style w:type="table" w:customStyle="1" w:styleId="ATEBTableChunky">
    <w:name w:val="ATEB Table (Chunky)"/>
    <w:basedOn w:val="ATEBTable"/>
    <w:uiPriority w:val="99"/>
    <w:rsid w:val="004774DC"/>
    <w:tblPr>
      <w:tblCellMar>
        <w:top w:w="170" w:type="dxa"/>
        <w:left w:w="170" w:type="dxa"/>
        <w:bottom w:w="170" w:type="dxa"/>
        <w:right w:w="170" w:type="dxa"/>
      </w:tblCellMar>
    </w:tblPr>
    <w:tblStylePr w:type="firstRow">
      <w:pPr>
        <w:jc w:val="center"/>
      </w:pPr>
      <w:rPr>
        <w:rFonts w:ascii="Arial" w:hAnsi="Arial"/>
        <w:b/>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b/>
      </w:rPr>
    </w:tblStylePr>
    <w:tblStylePr w:type="lastCol">
      <w:rPr>
        <w:b/>
      </w:rPr>
    </w:tblStylePr>
    <w:tblStylePr w:type="band1Horz">
      <w:tblPr/>
      <w:tcPr>
        <w:shd w:val="clear" w:color="auto" w:fill="E7E6E6" w:themeFill="background2"/>
      </w:tcPr>
    </w:tblStylePr>
    <w:tblStylePr w:type="band2Horz">
      <w:tblPr/>
      <w:tcPr>
        <w:shd w:val="clear" w:color="auto" w:fill="FFFFFF" w:themeFill="background1"/>
      </w:tcPr>
    </w:tblStylePr>
  </w:style>
  <w:style w:type="table" w:customStyle="1" w:styleId="TableGrid1">
    <w:name w:val="Table Grid1"/>
    <w:basedOn w:val="TableNormal"/>
    <w:next w:val="TableGrid"/>
    <w:uiPriority w:val="59"/>
    <w:rsid w:val="004774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6">
    <w:name w:val="Normal (Web)16"/>
    <w:basedOn w:val="Normal"/>
    <w:rsid w:val="004774DC"/>
    <w:pPr>
      <w:spacing w:before="100" w:beforeAutospacing="1" w:after="100" w:afterAutospacing="1" w:line="240" w:lineRule="auto"/>
    </w:pPr>
    <w:rPr>
      <w:rFonts w:ascii="Times New Roman" w:eastAsia="Times New Roman" w:hAnsi="Times New Roman" w:cs="Times New Roman"/>
      <w:sz w:val="23"/>
      <w:szCs w:val="23"/>
    </w:rPr>
  </w:style>
  <w:style w:type="paragraph" w:customStyle="1" w:styleId="TableHeaderRow">
    <w:name w:val="Table Header Row"/>
    <w:basedOn w:val="Normal"/>
    <w:qFormat/>
    <w:rsid w:val="004774DC"/>
    <w:pPr>
      <w:spacing w:after="0" w:line="240" w:lineRule="auto"/>
      <w:contextualSpacing/>
      <w:jc w:val="center"/>
    </w:pPr>
    <w:rPr>
      <w:rFonts w:eastAsia="Times New Roman" w:cs="Times New Roman"/>
      <w:b/>
      <w:color w:val="FFFFFF" w:themeColor="background1"/>
      <w:lang w:bidi="en-US"/>
    </w:rPr>
  </w:style>
  <w:style w:type="paragraph" w:customStyle="1" w:styleId="subpara2">
    <w:name w:val="subpara2"/>
    <w:basedOn w:val="Normal"/>
    <w:rsid w:val="004774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ubpara1">
    <w:name w:val="subpara1"/>
    <w:basedOn w:val="Normal"/>
    <w:rsid w:val="004774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4774DC"/>
    <w:pPr>
      <w:spacing w:after="0" w:line="240" w:lineRule="auto"/>
    </w:pPr>
    <w:rPr>
      <w:rFonts w:ascii="Rockwell Light" w:eastAsia="Times New Roman" w:hAnsi="Rockwell Light" w:cs="Times New Roman"/>
      <w:color w:val="000000" w:themeColor="text1"/>
      <w:sz w:val="20"/>
      <w:lang w:bidi="en-US"/>
    </w:rPr>
  </w:style>
  <w:style w:type="paragraph" w:customStyle="1" w:styleId="pf0">
    <w:name w:val="pf0"/>
    <w:basedOn w:val="Normal"/>
    <w:rsid w:val="001078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107805"/>
    <w:rPr>
      <w:rFonts w:ascii="Segoe UI" w:hAnsi="Segoe UI" w:cs="Segoe UI" w:hint="default"/>
      <w:sz w:val="18"/>
      <w:szCs w:val="18"/>
    </w:rPr>
  </w:style>
  <w:style w:type="paragraph" w:customStyle="1" w:styleId="TableParagraph">
    <w:name w:val="Table Paragraph"/>
    <w:basedOn w:val="Normal"/>
    <w:uiPriority w:val="1"/>
    <w:qFormat/>
    <w:rsid w:val="004977E1"/>
    <w:pPr>
      <w:widowControl w:val="0"/>
      <w:autoSpaceDE w:val="0"/>
      <w:autoSpaceDN w:val="0"/>
      <w:spacing w:after="0" w:line="240" w:lineRule="auto"/>
    </w:pPr>
    <w:rPr>
      <w:rFonts w:ascii="Avenir Next" w:eastAsia="Avenir Next" w:hAnsi="Avenir Next" w:cs="Avenir Next"/>
      <w:sz w:val="22"/>
      <w:lang w:val="en-US"/>
    </w:rPr>
  </w:style>
  <w:style w:type="paragraph" w:customStyle="1" w:styleId="TemplateHeaderReplace">
    <w:name w:val="Template Header Replace"/>
    <w:basedOn w:val="Normal"/>
    <w:qFormat/>
    <w:rsid w:val="00073471"/>
    <w:pPr>
      <w:spacing w:after="210" w:line="264" w:lineRule="auto"/>
      <w:ind w:left="-567"/>
      <w:jc w:val="both"/>
    </w:pPr>
    <w:rPr>
      <w:rFonts w:eastAsia="Times New Roman" w:cstheme="minorHAnsi"/>
      <w:b/>
      <w:color w:val="46DCDC" w:themeColor="accent1"/>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366985">
      <w:bodyDiv w:val="1"/>
      <w:marLeft w:val="0"/>
      <w:marRight w:val="0"/>
      <w:marTop w:val="0"/>
      <w:marBottom w:val="0"/>
      <w:divBdr>
        <w:top w:val="none" w:sz="0" w:space="0" w:color="auto"/>
        <w:left w:val="none" w:sz="0" w:space="0" w:color="auto"/>
        <w:bottom w:val="none" w:sz="0" w:space="0" w:color="auto"/>
        <w:right w:val="none" w:sz="0" w:space="0" w:color="auto"/>
      </w:divBdr>
    </w:div>
    <w:div w:id="198496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7.pn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ysReynolds\OneDrive%20-%20ATEB\Documents\Thistle%20Rebrand\Thistle%20Internal%20Toolkit%20Template.dotx" TargetMode="External"/></Relationships>
</file>

<file path=word/theme/theme1.xml><?xml version="1.0" encoding="utf-8"?>
<a:theme xmlns:a="http://schemas.openxmlformats.org/drawingml/2006/main" name="TI">
  <a:themeElements>
    <a:clrScheme name="TI Colours">
      <a:dk1>
        <a:srgbClr val="000000"/>
      </a:dk1>
      <a:lt1>
        <a:srgbClr val="FFFFFF"/>
      </a:lt1>
      <a:dk2>
        <a:srgbClr val="2E2755"/>
      </a:dk2>
      <a:lt2>
        <a:srgbClr val="E7E6E6"/>
      </a:lt2>
      <a:accent1>
        <a:srgbClr val="46DCDC"/>
      </a:accent1>
      <a:accent2>
        <a:srgbClr val="BBF2F2"/>
      </a:accent2>
      <a:accent3>
        <a:srgbClr val="F596C5"/>
      </a:accent3>
      <a:accent4>
        <a:srgbClr val="CBF2F9"/>
      </a:accent4>
      <a:accent5>
        <a:srgbClr val="F59600"/>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I" id="{80101267-20CE-524B-B065-B7A7855357E6}" vid="{B27ECFF7-BAB6-D844-BD8F-8BA374C07FA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a7b0ae-d366-4174-8f86-7e626741fcd7">
      <Terms xmlns="http://schemas.microsoft.com/office/infopath/2007/PartnerControls"/>
    </lcf76f155ced4ddcb4097134ff3c332f>
    <TaxCatchAll xmlns="a1597107-7dfc-4cce-a4d1-d062d8ec457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264D0EE9A33841ABAADDDC496255E3" ma:contentTypeVersion="23" ma:contentTypeDescription="Create a new document." ma:contentTypeScope="" ma:versionID="8d4a6095d98acb7048bd2a11d9e58455">
  <xsd:schema xmlns:xsd="http://www.w3.org/2001/XMLSchema" xmlns:xs="http://www.w3.org/2001/XMLSchema" xmlns:p="http://schemas.microsoft.com/office/2006/metadata/properties" xmlns:ns1="http://schemas.microsoft.com/sharepoint/v3" xmlns:ns2="b7a7b0ae-d366-4174-8f86-7e626741fcd7" xmlns:ns3="a1597107-7dfc-4cce-a4d1-d062d8ec457d" targetNamespace="http://schemas.microsoft.com/office/2006/metadata/properties" ma:root="true" ma:fieldsID="7b75be45a57907712cf16f37b61997ba" ns1:_="" ns2:_="" ns3:_="">
    <xsd:import namespace="http://schemas.microsoft.com/sharepoint/v3"/>
    <xsd:import namespace="b7a7b0ae-d366-4174-8f86-7e626741fcd7"/>
    <xsd:import namespace="a1597107-7dfc-4cce-a4d1-d062d8ec45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a7b0ae-d366-4174-8f86-7e626741fcd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683569e-8348-430f-853d-71034b3732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597107-7dfc-4cce-a4d1-d062d8ec45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9684ab83-0fbd-4c33-9727-ad2c0dd42aa6}" ma:internalName="TaxCatchAll" ma:showField="CatchAllData" ma:web="a1597107-7dfc-4cce-a4d1-d062d8ec4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25F1BB-5BCC-4E3A-A012-A25D7A6007C3}">
  <ds:schemaRefs>
    <ds:schemaRef ds:uri="http://schemas.microsoft.com/office/2006/metadata/properties"/>
    <ds:schemaRef ds:uri="http://schemas.microsoft.com/office/infopath/2007/PartnerControls"/>
    <ds:schemaRef ds:uri="b7a7b0ae-d366-4174-8f86-7e626741fcd7"/>
    <ds:schemaRef ds:uri="a1597107-7dfc-4cce-a4d1-d062d8ec457d"/>
    <ds:schemaRef ds:uri="http://schemas.microsoft.com/sharepoint/v3"/>
  </ds:schemaRefs>
</ds:datastoreItem>
</file>

<file path=customXml/itemProps2.xml><?xml version="1.0" encoding="utf-8"?>
<ds:datastoreItem xmlns:ds="http://schemas.openxmlformats.org/officeDocument/2006/customXml" ds:itemID="{7406DD41-1C68-4560-B37E-E41CABA47B8B}">
  <ds:schemaRefs>
    <ds:schemaRef ds:uri="http://schemas.openxmlformats.org/officeDocument/2006/bibliography"/>
  </ds:schemaRefs>
</ds:datastoreItem>
</file>

<file path=customXml/itemProps3.xml><?xml version="1.0" encoding="utf-8"?>
<ds:datastoreItem xmlns:ds="http://schemas.openxmlformats.org/officeDocument/2006/customXml" ds:itemID="{E54404C8-C421-4C83-8017-966FE4EF8063}">
  <ds:schemaRefs>
    <ds:schemaRef ds:uri="http://schemas.microsoft.com/sharepoint/v3/contenttype/forms"/>
  </ds:schemaRefs>
</ds:datastoreItem>
</file>

<file path=customXml/itemProps4.xml><?xml version="1.0" encoding="utf-8"?>
<ds:datastoreItem xmlns:ds="http://schemas.openxmlformats.org/officeDocument/2006/customXml" ds:itemID="{C467269F-6B34-4352-9A8A-72398E0C3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a7b0ae-d366-4174-8f86-7e626741fcd7"/>
    <ds:schemaRef ds:uri="a1597107-7dfc-4cce-a4d1-d062d8ec4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Thistle Internal Toolkit Template</Template>
  <TotalTime>0</TotalTime>
  <Pages>11</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Consumer Duty</vt:lpstr>
    </vt:vector>
  </TitlesOfParts>
  <Company>Thistle Initiatives Limited</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Duty</dc:title>
  <dc:subject>Fair Value Assessment</dc:subject>
  <dc:creator>Rhys Reynolds</dc:creator>
  <cp:keywords/>
  <dc:description/>
  <cp:lastModifiedBy>Lisa Cross</cp:lastModifiedBy>
  <cp:revision>4</cp:revision>
  <cp:lastPrinted>2025-05-27T15:49:00Z</cp:lastPrinted>
  <dcterms:created xsi:type="dcterms:W3CDTF">2025-08-28T11:45:00Z</dcterms:created>
  <dcterms:modified xsi:type="dcterms:W3CDTF">2026-05-08T12:02:00Z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0x010100F0264D0EE9A33841ABAADDDC496255E3</vt:lpwstr>
  </property>
  <property fmtid="{D5CDD505-2E9C-101B-9397-08002B2CF9AE}" pid="3" name="MediaServiceImageTags">
    <vt:lpwstr/>
  </property>
  <property fmtid="{D5CDD505-2E9C-101B-9397-08002B2CF9AE}" pid="4" name="_NewReviewCycle">
    <vt:lpwstr/>
  </property>
  <property fmtid="{D5CDD505-2E9C-101B-9397-08002B2CF9AE}" pid="5" name="_EmailSubject">
    <vt:lpwstr>Fair Value Assessment</vt:lpwstr>
  </property>
  <property fmtid="{D5CDD505-2E9C-101B-9397-08002B2CF9AE}" pid="6" name="_AuthorEmail">
    <vt:lpwstr>rrobson@tbiinvestments.co.uk</vt:lpwstr>
  </property>
  <property fmtid="{D5CDD505-2E9C-101B-9397-08002B2CF9AE}" pid="7" name="_ReviewingToolsShownOnce">
    <vt:lpwstr/>
  </property>
  <property fmtid="{D5CDD505-2E9C-101B-9397-08002B2CF9AE}" pid="8" name="_AuthorEmailDisplayName">
    <vt:lpwstr>Richard Robson</vt:lpwstr>
  </property>
  <property fmtid="{D5CDD505-2E9C-101B-9397-08002B2CF9AE}" pid="9" name="_AdHocReviewCycleID">
    <vt:i4>1291205802</vt:i4>
  </property>
</Properties>
</file>