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092F6" w14:textId="558A1574" w:rsidR="008D16F2" w:rsidRDefault="008D16F2" w:rsidP="00954528">
      <w:pPr>
        <w:rPr>
          <w:color w:val="FF0000"/>
          <w:sz w:val="32"/>
          <w:szCs w:val="32"/>
        </w:rPr>
      </w:pPr>
    </w:p>
    <w:p w14:paraId="39BAB4BE" w14:textId="77777777" w:rsidR="00560F34" w:rsidRDefault="00560F34" w:rsidP="00954528">
      <w:pPr>
        <w:rPr>
          <w:color w:val="FF0000"/>
          <w:sz w:val="32"/>
          <w:szCs w:val="32"/>
        </w:rPr>
      </w:pPr>
    </w:p>
    <w:p w14:paraId="129005AF" w14:textId="77777777" w:rsidR="00560F34" w:rsidRDefault="00560F34" w:rsidP="00954528">
      <w:pPr>
        <w:rPr>
          <w:color w:val="FF0000"/>
          <w:sz w:val="32"/>
          <w:szCs w:val="32"/>
        </w:rPr>
      </w:pPr>
    </w:p>
    <w:p w14:paraId="61CC82E4" w14:textId="77777777" w:rsidR="00560F34" w:rsidRDefault="00560F34" w:rsidP="00954528">
      <w:pPr>
        <w:rPr>
          <w:color w:val="FF0000"/>
          <w:sz w:val="32"/>
          <w:szCs w:val="32"/>
        </w:rPr>
      </w:pPr>
    </w:p>
    <w:p w14:paraId="48AF02CB" w14:textId="77ABD9C8" w:rsidR="00560F34" w:rsidRPr="00560F34" w:rsidRDefault="00560F34" w:rsidP="00560F34">
      <w:pPr>
        <w:rPr>
          <w:b/>
          <w:bCs/>
          <w:color w:val="FF0000"/>
          <w:sz w:val="32"/>
          <w:szCs w:val="32"/>
        </w:rPr>
      </w:pPr>
      <w:r w:rsidRPr="00560F34">
        <w:rPr>
          <w:b/>
          <w:bCs/>
          <w:sz w:val="32"/>
          <w:szCs w:val="32"/>
        </w:rPr>
        <w:t>CONSUMER DUTY FAIR VALUE ASSESSMENT</w:t>
      </w:r>
    </w:p>
    <w:p w14:paraId="415AB222" w14:textId="77777777" w:rsidR="00560F34" w:rsidRDefault="00560F34" w:rsidP="00560F34">
      <w:pPr>
        <w:rPr>
          <w:rFonts w:cs="Arial"/>
          <w:lang w:bidi="en-US"/>
        </w:rPr>
      </w:pPr>
    </w:p>
    <w:p w14:paraId="2C0B4DA8" w14:textId="77777777" w:rsidR="00560F34" w:rsidRDefault="00560F34" w:rsidP="00560F34">
      <w:pPr>
        <w:rPr>
          <w:rFonts w:cs="Arial"/>
          <w:lang w:bidi="en-US"/>
        </w:rPr>
      </w:pPr>
    </w:p>
    <w:p w14:paraId="6725DAB4" w14:textId="70269AB4" w:rsidR="00560F34" w:rsidRPr="00FB1625" w:rsidRDefault="00560F34" w:rsidP="00560F34">
      <w:pPr>
        <w:rPr>
          <w:rFonts w:cs="Arial"/>
          <w:b/>
          <w:bCs/>
          <w:lang w:bidi="en-US"/>
        </w:rPr>
      </w:pPr>
      <w:r w:rsidRPr="003D42C0">
        <w:rPr>
          <w:rFonts w:cs="Arial"/>
          <w:lang w:bidi="en-US"/>
        </w:rPr>
        <w:t>Date Conducted:</w:t>
      </w:r>
      <w:r w:rsidRPr="003D42C0">
        <w:rPr>
          <w:rFonts w:cs="Arial"/>
          <w:lang w:bidi="en-US"/>
        </w:rPr>
        <w:tab/>
      </w:r>
      <w:r w:rsidRPr="00FB1625">
        <w:rPr>
          <w:rFonts w:eastAsia="Times New Roman" w:cs="Times New Roman"/>
          <w:b/>
          <w:bCs/>
          <w:szCs w:val="20"/>
        </w:rPr>
        <w:t>July 20</w:t>
      </w:r>
      <w:r w:rsidR="001E315A" w:rsidRPr="001E315A">
        <w:rPr>
          <w:rFonts w:eastAsia="Times New Roman" w:cs="Times New Roman"/>
          <w:b/>
          <w:bCs/>
          <w:color w:val="EE0000"/>
          <w:szCs w:val="20"/>
        </w:rPr>
        <w:t>XX</w:t>
      </w:r>
    </w:p>
    <w:p w14:paraId="3DBA459D" w14:textId="3BD12FC4" w:rsidR="00560F34" w:rsidRPr="00560F34" w:rsidRDefault="00560F34" w:rsidP="00954528">
      <w:pPr>
        <w:rPr>
          <w:rFonts w:cs="Arial"/>
          <w:b/>
          <w:bCs/>
          <w:color w:val="46DCDC" w:themeColor="accent1"/>
          <w:lang w:bidi="en-US"/>
        </w:rPr>
      </w:pPr>
      <w:r w:rsidRPr="003D42C0">
        <w:rPr>
          <w:rFonts w:cs="Arial"/>
          <w:lang w:bidi="en-US"/>
        </w:rPr>
        <w:t>Conducted</w:t>
      </w:r>
      <w:r>
        <w:rPr>
          <w:rFonts w:cs="Arial"/>
          <w:lang w:bidi="en-US"/>
        </w:rPr>
        <w:t xml:space="preserve"> By</w:t>
      </w:r>
      <w:r w:rsidRPr="003D42C0">
        <w:rPr>
          <w:rFonts w:cs="Arial"/>
          <w:lang w:bidi="en-US"/>
        </w:rPr>
        <w:t>:</w:t>
      </w:r>
      <w:r>
        <w:rPr>
          <w:rFonts w:cs="Arial"/>
          <w:lang w:bidi="en-US"/>
        </w:rPr>
        <w:tab/>
      </w:r>
      <w:r w:rsidR="00BD4B5C">
        <w:rPr>
          <w:rFonts w:cs="Arial"/>
          <w:lang w:bidi="en-US"/>
        </w:rPr>
        <w:tab/>
      </w:r>
    </w:p>
    <w:p w14:paraId="358AD73B" w14:textId="77777777" w:rsidR="0018219B" w:rsidRPr="0018219B" w:rsidRDefault="0018219B" w:rsidP="007F0C92">
      <w:pPr>
        <w:rPr>
          <w:u w:val="single"/>
        </w:rPr>
      </w:pPr>
      <w:r w:rsidRPr="0018219B">
        <w:rPr>
          <w:u w:val="single"/>
        </w:rPr>
        <w:t>OBJECTIVE</w:t>
      </w:r>
    </w:p>
    <w:p w14:paraId="22AC06B0" w14:textId="09CE65A8" w:rsidR="00BC12AC" w:rsidRDefault="0018219B" w:rsidP="007F0C92">
      <w:r>
        <w:t xml:space="preserve">In undertaking </w:t>
      </w:r>
      <w:r w:rsidR="00BC12AC">
        <w:t xml:space="preserve">these Fair Value Assessments (FVAs) our objective is </w:t>
      </w:r>
      <w:r w:rsidR="00986994">
        <w:t>simply to demonstrate that our services deliver fair value to our target market.</w:t>
      </w:r>
    </w:p>
    <w:p w14:paraId="1F599904" w14:textId="367591B3" w:rsidR="00C4313B" w:rsidRPr="00C4313B" w:rsidRDefault="00C4313B" w:rsidP="007F0C92">
      <w:pPr>
        <w:rPr>
          <w:u w:val="single"/>
        </w:rPr>
      </w:pPr>
      <w:r w:rsidRPr="00C4313B">
        <w:rPr>
          <w:u w:val="single"/>
        </w:rPr>
        <w:t>SCOPE</w:t>
      </w:r>
    </w:p>
    <w:p w14:paraId="25FB3E46" w14:textId="075509AD" w:rsidR="00B005E9" w:rsidRPr="00B005E9" w:rsidRDefault="00B37001" w:rsidP="007F0C92">
      <w:r>
        <w:t>Firm Name</w:t>
      </w:r>
      <w:r w:rsidR="00D21AA2" w:rsidRPr="00B005E9">
        <w:t xml:space="preserve"> has one service – to offer discretionary portfolio management to retails clients</w:t>
      </w:r>
      <w:r w:rsidR="00B26F3B" w:rsidRPr="00B005E9">
        <w:t xml:space="preserve"> </w:t>
      </w:r>
      <w:r w:rsidR="00C63BC8">
        <w:t xml:space="preserve">based on objectives and attitude to risk.  This </w:t>
      </w:r>
      <w:r w:rsidR="00B26F3B" w:rsidRPr="00B005E9">
        <w:t>entails:</w:t>
      </w:r>
    </w:p>
    <w:p w14:paraId="650BE302" w14:textId="2F9575E1" w:rsidR="00B005E9" w:rsidRPr="00B005E9" w:rsidRDefault="00B005E9" w:rsidP="00B005E9">
      <w:pPr>
        <w:tabs>
          <w:tab w:val="left" w:pos="-720"/>
          <w:tab w:val="left" w:pos="0"/>
          <w:tab w:val="left" w:pos="426"/>
        </w:tabs>
        <w:suppressAutoHyphens/>
        <w:jc w:val="both"/>
      </w:pPr>
      <w:r w:rsidRPr="00B005E9">
        <w:t>a)</w:t>
      </w:r>
      <w:r w:rsidRPr="00B005E9">
        <w:tab/>
        <w:t>Discretionary portfolio management</w:t>
      </w:r>
      <w:r w:rsidR="00C63BC8">
        <w:t>;</w:t>
      </w:r>
    </w:p>
    <w:p w14:paraId="14109E78" w14:textId="13D80A7D" w:rsidR="00B005E9" w:rsidRPr="00B005E9" w:rsidRDefault="00B005E9" w:rsidP="00B005E9">
      <w:pPr>
        <w:tabs>
          <w:tab w:val="left" w:pos="-720"/>
          <w:tab w:val="left" w:pos="0"/>
          <w:tab w:val="left" w:pos="426"/>
        </w:tabs>
        <w:suppressAutoHyphens/>
        <w:jc w:val="both"/>
      </w:pPr>
      <w:r w:rsidRPr="00B005E9">
        <w:t>b)</w:t>
      </w:r>
      <w:r w:rsidRPr="00B005E9">
        <w:tab/>
        <w:t>Arranging for the acquisition or disposal of investments</w:t>
      </w:r>
      <w:r w:rsidR="00C63BC8">
        <w:t>;</w:t>
      </w:r>
    </w:p>
    <w:p w14:paraId="5C9C13CB" w14:textId="77777777" w:rsidR="00B005E9" w:rsidRPr="00B005E9" w:rsidRDefault="00B005E9" w:rsidP="00B005E9">
      <w:pPr>
        <w:tabs>
          <w:tab w:val="left" w:pos="-720"/>
          <w:tab w:val="left" w:pos="0"/>
          <w:tab w:val="left" w:pos="426"/>
        </w:tabs>
        <w:suppressAutoHyphens/>
        <w:ind w:left="720" w:hanging="720"/>
        <w:jc w:val="both"/>
      </w:pPr>
      <w:r w:rsidRPr="00B005E9">
        <w:t>c)</w:t>
      </w:r>
      <w:r w:rsidRPr="00B005E9">
        <w:tab/>
        <w:t>Arranging for safe custody and administration of your investments, including ISA management, where relevant.</w:t>
      </w:r>
    </w:p>
    <w:p w14:paraId="7771D52C" w14:textId="2D554A97" w:rsidR="00B005E9" w:rsidRDefault="001E304C" w:rsidP="007F0C92">
      <w:pPr>
        <w:rPr>
          <w:color w:val="FF0000"/>
        </w:rPr>
      </w:pPr>
      <w:r w:rsidRPr="007A5D61">
        <w:rPr>
          <w:rFonts w:ascii="Tahoma" w:hAnsi="Tahoma" w:cs="Tahoma"/>
          <w:szCs w:val="20"/>
        </w:rPr>
        <w:t>We have entered into an agreement with AJ Bell Securities Limited (</w:t>
      </w:r>
      <w:r w:rsidRPr="001E304C">
        <w:rPr>
          <w:rFonts w:ascii="Tahoma" w:hAnsi="Tahoma" w:cs="Tahoma"/>
          <w:szCs w:val="20"/>
        </w:rPr>
        <w:t>AJ Bell</w:t>
      </w:r>
      <w:r>
        <w:rPr>
          <w:rFonts w:ascii="Tahoma" w:hAnsi="Tahoma" w:cs="Tahoma"/>
          <w:szCs w:val="20"/>
        </w:rPr>
        <w:t>)</w:t>
      </w:r>
      <w:r w:rsidRPr="007A5D61">
        <w:rPr>
          <w:rFonts w:ascii="Tahoma" w:hAnsi="Tahoma" w:cs="Tahoma"/>
          <w:szCs w:val="20"/>
        </w:rPr>
        <w:t xml:space="preserve">, under which AJ Bell has agreed to provide clearing and settlement, safe custody and associated services for our clients.  </w:t>
      </w:r>
      <w:r>
        <w:rPr>
          <w:rFonts w:ascii="Tahoma" w:hAnsi="Tahoma" w:cs="Tahoma"/>
          <w:szCs w:val="20"/>
        </w:rPr>
        <w:t>There fees have been taken into consideration when determining fair value.</w:t>
      </w:r>
    </w:p>
    <w:p w14:paraId="06D5EA2A" w14:textId="34AF48F9" w:rsidR="007F0C92" w:rsidRPr="00A11059" w:rsidRDefault="00A11059" w:rsidP="00B75685">
      <w:pPr>
        <w:rPr>
          <w:u w:val="single"/>
        </w:rPr>
      </w:pPr>
      <w:r w:rsidRPr="00A11059">
        <w:rPr>
          <w:u w:val="single"/>
        </w:rPr>
        <w:lastRenderedPageBreak/>
        <w:t xml:space="preserve">SERVICES THAT </w:t>
      </w:r>
      <w:r w:rsidR="00D22585">
        <w:rPr>
          <w:u w:val="single"/>
        </w:rPr>
        <w:t>ARE SUBJECT TO</w:t>
      </w:r>
      <w:r w:rsidRPr="00A11059">
        <w:rPr>
          <w:u w:val="single"/>
        </w:rPr>
        <w:t xml:space="preserve"> FVAs</w:t>
      </w:r>
    </w:p>
    <w:p w14:paraId="153112BE" w14:textId="0B66DD01" w:rsidR="008D16F2" w:rsidRDefault="008D16F2" w:rsidP="00954528"/>
    <w:tbl>
      <w:tblPr>
        <w:tblStyle w:val="TableGrid"/>
        <w:tblW w:w="0" w:type="auto"/>
        <w:tblLook w:val="04A0" w:firstRow="1" w:lastRow="0" w:firstColumn="1" w:lastColumn="0" w:noHBand="0" w:noVBand="1"/>
      </w:tblPr>
      <w:tblGrid>
        <w:gridCol w:w="3407"/>
        <w:gridCol w:w="3408"/>
        <w:gridCol w:w="3407"/>
      </w:tblGrid>
      <w:tr w:rsidR="007A3F98" w14:paraId="3BE89DD3" w14:textId="5801F2E0" w:rsidTr="00A27C5C">
        <w:tc>
          <w:tcPr>
            <w:tcW w:w="3407" w:type="dxa"/>
          </w:tcPr>
          <w:p w14:paraId="55E6C4AB" w14:textId="74689692" w:rsidR="007A3F98" w:rsidRPr="00E01545" w:rsidRDefault="007A3F98" w:rsidP="00657AC6">
            <w:pPr>
              <w:rPr>
                <w:b/>
                <w:bCs/>
              </w:rPr>
            </w:pPr>
            <w:r>
              <w:rPr>
                <w:b/>
                <w:bCs/>
              </w:rPr>
              <w:t>Service</w:t>
            </w:r>
          </w:p>
        </w:tc>
        <w:tc>
          <w:tcPr>
            <w:tcW w:w="3408" w:type="dxa"/>
          </w:tcPr>
          <w:p w14:paraId="1113B3E2" w14:textId="77777777" w:rsidR="007A3F98" w:rsidRPr="00E01545" w:rsidRDefault="007A3F98" w:rsidP="00657AC6">
            <w:pPr>
              <w:rPr>
                <w:b/>
                <w:bCs/>
              </w:rPr>
            </w:pPr>
            <w:r>
              <w:rPr>
                <w:b/>
                <w:bCs/>
              </w:rPr>
              <w:t>Target Market</w:t>
            </w:r>
          </w:p>
        </w:tc>
        <w:tc>
          <w:tcPr>
            <w:tcW w:w="3407" w:type="dxa"/>
          </w:tcPr>
          <w:p w14:paraId="17278024" w14:textId="13CA4FC9" w:rsidR="007A3F98" w:rsidRDefault="007A3F98" w:rsidP="00657AC6">
            <w:pPr>
              <w:rPr>
                <w:b/>
                <w:bCs/>
              </w:rPr>
            </w:pPr>
            <w:r>
              <w:rPr>
                <w:b/>
                <w:bCs/>
              </w:rPr>
              <w:t>Fees and Charges</w:t>
            </w:r>
          </w:p>
        </w:tc>
      </w:tr>
      <w:tr w:rsidR="007A3F98" w14:paraId="3851F137" w14:textId="465E99C5" w:rsidTr="00A27C5C">
        <w:tc>
          <w:tcPr>
            <w:tcW w:w="3407" w:type="dxa"/>
            <w:vMerge w:val="restart"/>
          </w:tcPr>
          <w:p w14:paraId="79C6916C" w14:textId="56A0DDC4" w:rsidR="007A3F98" w:rsidRDefault="007A3F98" w:rsidP="00657AC6">
            <w:r>
              <w:t>D</w:t>
            </w:r>
            <w:r w:rsidRPr="00B005E9">
              <w:t>iscretionary portfolio management</w:t>
            </w:r>
          </w:p>
        </w:tc>
        <w:tc>
          <w:tcPr>
            <w:tcW w:w="3408" w:type="dxa"/>
          </w:tcPr>
          <w:p w14:paraId="18A3CE73" w14:textId="77777777" w:rsidR="007A3F98" w:rsidRDefault="007A3F98" w:rsidP="00657AC6">
            <w:r>
              <w:t>Any retail client</w:t>
            </w:r>
          </w:p>
          <w:p w14:paraId="2B174F82" w14:textId="1FE54A7F" w:rsidR="007A3F98" w:rsidRDefault="007A3F98" w:rsidP="00657AC6">
            <w:r>
              <w:t>Funds = £</w:t>
            </w:r>
            <w:r w:rsidR="00B323F0">
              <w:t>25</w:t>
            </w:r>
            <w:r>
              <w:t>0,000</w:t>
            </w:r>
          </w:p>
        </w:tc>
        <w:tc>
          <w:tcPr>
            <w:tcW w:w="3407" w:type="dxa"/>
          </w:tcPr>
          <w:p w14:paraId="4B9A6F01" w14:textId="77777777" w:rsidR="007A3F98" w:rsidRDefault="007A3F98" w:rsidP="00657AC6"/>
          <w:p w14:paraId="25EF1052" w14:textId="1A731286" w:rsidR="007A3F98" w:rsidRDefault="007A3F98" w:rsidP="00657AC6">
            <w:r>
              <w:t>0.225% quarterly / 0.90% annually</w:t>
            </w:r>
          </w:p>
        </w:tc>
      </w:tr>
      <w:tr w:rsidR="007A3F98" w14:paraId="49F23247" w14:textId="427EECAD" w:rsidTr="00A27C5C">
        <w:tc>
          <w:tcPr>
            <w:tcW w:w="3407" w:type="dxa"/>
            <w:vMerge/>
          </w:tcPr>
          <w:p w14:paraId="15FC4692" w14:textId="3EFB7953" w:rsidR="007A3F98" w:rsidRDefault="007A3F98" w:rsidP="00657AC6"/>
        </w:tc>
        <w:tc>
          <w:tcPr>
            <w:tcW w:w="3408" w:type="dxa"/>
          </w:tcPr>
          <w:p w14:paraId="4F6F9E95" w14:textId="77777777" w:rsidR="007A3F98" w:rsidRDefault="007A3F98" w:rsidP="00966F87">
            <w:r>
              <w:t>Any retail client</w:t>
            </w:r>
          </w:p>
          <w:p w14:paraId="0E4D979A" w14:textId="77777777" w:rsidR="007A3F98" w:rsidRDefault="007A3F98" w:rsidP="00966F87">
            <w:r>
              <w:t>Funds = £500,000</w:t>
            </w:r>
          </w:p>
          <w:p w14:paraId="598B2408" w14:textId="6F2CC943" w:rsidR="007A3F98" w:rsidRDefault="007A3F98" w:rsidP="00966F87">
            <w:r>
              <w:t>On the next £500,000</w:t>
            </w:r>
          </w:p>
        </w:tc>
        <w:tc>
          <w:tcPr>
            <w:tcW w:w="3407" w:type="dxa"/>
          </w:tcPr>
          <w:p w14:paraId="01491E2A" w14:textId="77777777" w:rsidR="007A3F98" w:rsidRDefault="007A3F98" w:rsidP="00657AC6"/>
          <w:p w14:paraId="7554E023" w14:textId="77777777" w:rsidR="007A3F98" w:rsidRDefault="007A3F98" w:rsidP="00657AC6">
            <w:r>
              <w:t>0.225% quarterly / 0.90% annually</w:t>
            </w:r>
          </w:p>
          <w:p w14:paraId="150BA120" w14:textId="3FAA4C96" w:rsidR="007A3F98" w:rsidRDefault="007A3F98" w:rsidP="00657AC6">
            <w:r>
              <w:t>0.1875% quarterly / 0.75% annually</w:t>
            </w:r>
          </w:p>
          <w:p w14:paraId="3F46B986" w14:textId="6D16D6F2" w:rsidR="007A3F98" w:rsidRDefault="007A3F98" w:rsidP="00657AC6"/>
        </w:tc>
      </w:tr>
      <w:tr w:rsidR="007A3F98" w14:paraId="7F221BD3" w14:textId="2C7E63C0" w:rsidTr="00A27C5C">
        <w:tc>
          <w:tcPr>
            <w:tcW w:w="3407" w:type="dxa"/>
            <w:vMerge/>
          </w:tcPr>
          <w:p w14:paraId="1CFB1042" w14:textId="00E0D4E7" w:rsidR="007A3F98" w:rsidRDefault="007A3F98" w:rsidP="000F5745"/>
        </w:tc>
        <w:tc>
          <w:tcPr>
            <w:tcW w:w="3408" w:type="dxa"/>
          </w:tcPr>
          <w:p w14:paraId="652BCEAB" w14:textId="77777777" w:rsidR="007A3F98" w:rsidRDefault="007A3F98" w:rsidP="000F5745">
            <w:r>
              <w:t>Any retail client</w:t>
            </w:r>
          </w:p>
          <w:p w14:paraId="5CA463E4" w14:textId="77777777" w:rsidR="007A3F98" w:rsidRDefault="007A3F98" w:rsidP="000F5745">
            <w:r>
              <w:t>Funds = £500,000</w:t>
            </w:r>
          </w:p>
          <w:p w14:paraId="19B6E87D" w14:textId="179237D6" w:rsidR="007A3F98" w:rsidRDefault="007A3F98" w:rsidP="000F5745">
            <w:r>
              <w:t>On the next £500,000</w:t>
            </w:r>
          </w:p>
          <w:p w14:paraId="58959FD9" w14:textId="3A67A362" w:rsidR="007A3F98" w:rsidRDefault="007A3F98" w:rsidP="000F5745"/>
        </w:tc>
        <w:tc>
          <w:tcPr>
            <w:tcW w:w="3407" w:type="dxa"/>
          </w:tcPr>
          <w:p w14:paraId="6D93F9F0" w14:textId="77777777" w:rsidR="007A3F98" w:rsidRDefault="007A3F98" w:rsidP="000F5745"/>
          <w:p w14:paraId="60E85157" w14:textId="77777777" w:rsidR="007A3F98" w:rsidRDefault="007A3F98" w:rsidP="000F5745">
            <w:r>
              <w:t>0.225% quarterly / 0.90% annually</w:t>
            </w:r>
          </w:p>
          <w:p w14:paraId="5AA76BF5" w14:textId="04DD0FBA" w:rsidR="007A3F98" w:rsidRDefault="007A3F98" w:rsidP="000F5745">
            <w:r>
              <w:t>0.1875% quarterly / 0.75% annually</w:t>
            </w:r>
          </w:p>
          <w:p w14:paraId="7A283A73" w14:textId="77777777" w:rsidR="007A3F98" w:rsidRDefault="007A3F98" w:rsidP="000F5745"/>
        </w:tc>
      </w:tr>
      <w:tr w:rsidR="007A3F98" w14:paraId="206F0E8A" w14:textId="3EF348EB" w:rsidTr="00A27C5C">
        <w:tc>
          <w:tcPr>
            <w:tcW w:w="3407" w:type="dxa"/>
            <w:vMerge/>
          </w:tcPr>
          <w:p w14:paraId="3C5CB573" w14:textId="5C2027AD" w:rsidR="007A3F98" w:rsidRDefault="007A3F98" w:rsidP="006526C4"/>
        </w:tc>
        <w:tc>
          <w:tcPr>
            <w:tcW w:w="3408" w:type="dxa"/>
          </w:tcPr>
          <w:p w14:paraId="529DCAA6" w14:textId="77777777" w:rsidR="007A3F98" w:rsidRDefault="007A3F98" w:rsidP="006526C4">
            <w:r>
              <w:t>Any retail client</w:t>
            </w:r>
          </w:p>
          <w:p w14:paraId="0A743194" w14:textId="77777777" w:rsidR="007A3F98" w:rsidRDefault="007A3F98" w:rsidP="006526C4">
            <w:r>
              <w:t>Funds = £500,000</w:t>
            </w:r>
          </w:p>
          <w:p w14:paraId="269EA421" w14:textId="77777777" w:rsidR="007A3F98" w:rsidRDefault="007A3F98" w:rsidP="006526C4">
            <w:r>
              <w:t>On the next £500,000</w:t>
            </w:r>
          </w:p>
          <w:p w14:paraId="31E57D0F" w14:textId="77777777" w:rsidR="007A3F98" w:rsidRDefault="007A3F98" w:rsidP="006526C4">
            <w:r>
              <w:t>On the next £1M</w:t>
            </w:r>
          </w:p>
          <w:p w14:paraId="4D3C6156" w14:textId="34A8AE70" w:rsidR="007A3F98" w:rsidRDefault="007A3F98" w:rsidP="006526C4">
            <w:r>
              <w:t>Thereafter</w:t>
            </w:r>
          </w:p>
        </w:tc>
        <w:tc>
          <w:tcPr>
            <w:tcW w:w="3407" w:type="dxa"/>
          </w:tcPr>
          <w:p w14:paraId="5E2F4A50" w14:textId="77777777" w:rsidR="007A3F98" w:rsidRDefault="007A3F98" w:rsidP="006526C4"/>
          <w:p w14:paraId="5742C770" w14:textId="77777777" w:rsidR="007A3F98" w:rsidRDefault="007A3F98" w:rsidP="006526C4">
            <w:r>
              <w:t>0.225% quarterly / 0.90% annually</w:t>
            </w:r>
          </w:p>
          <w:p w14:paraId="37E9EE80" w14:textId="77777777" w:rsidR="007A3F98" w:rsidRDefault="007A3F98" w:rsidP="006526C4">
            <w:r>
              <w:t>0.1875% quarterly / 0.75% annually</w:t>
            </w:r>
          </w:p>
          <w:p w14:paraId="246F8409" w14:textId="5ECB76BF" w:rsidR="007A3F98" w:rsidRDefault="007A3F98" w:rsidP="006526C4">
            <w:r>
              <w:t>0.125% quarterly / 0.</w:t>
            </w:r>
            <w:r w:rsidR="00DF5E3B">
              <w:t>5</w:t>
            </w:r>
            <w:r>
              <w:t>0% annually</w:t>
            </w:r>
          </w:p>
          <w:p w14:paraId="67A2090B" w14:textId="1674EBBF" w:rsidR="007A3F98" w:rsidRDefault="007A3F98" w:rsidP="006526C4">
            <w:r>
              <w:t>0.075% quarterly / 0.30% annually</w:t>
            </w:r>
          </w:p>
        </w:tc>
      </w:tr>
    </w:tbl>
    <w:p w14:paraId="6123F671" w14:textId="77777777" w:rsidR="006526C4" w:rsidRDefault="006526C4" w:rsidP="0069287E">
      <w:pPr>
        <w:tabs>
          <w:tab w:val="left" w:pos="3520"/>
          <w:tab w:val="left" w:pos="6928"/>
          <w:tab w:val="left" w:pos="10335"/>
        </w:tabs>
        <w:ind w:left="113"/>
      </w:pPr>
    </w:p>
    <w:p w14:paraId="5621631B" w14:textId="550A68E4" w:rsidR="002F33E8" w:rsidRDefault="006526C4" w:rsidP="0069287E">
      <w:pPr>
        <w:tabs>
          <w:tab w:val="left" w:pos="3520"/>
          <w:tab w:val="left" w:pos="6928"/>
          <w:tab w:val="left" w:pos="10335"/>
        </w:tabs>
        <w:ind w:left="113"/>
      </w:pPr>
      <w:r w:rsidRPr="006526C4">
        <w:rPr>
          <w:b/>
          <w:bCs/>
          <w:i/>
          <w:iCs/>
        </w:rPr>
        <w:t>Note</w:t>
      </w:r>
      <w:r>
        <w:t>: There is a minimum annual fee of £600.00 excluding VAT.</w:t>
      </w:r>
    </w:p>
    <w:p w14:paraId="2C954D04" w14:textId="76B86BFD" w:rsidR="00557ECF" w:rsidRDefault="00557ECF">
      <w:pPr>
        <w:spacing w:line="259" w:lineRule="auto"/>
      </w:pPr>
      <w:r>
        <w:br w:type="page"/>
      </w:r>
    </w:p>
    <w:p w14:paraId="164C95B4" w14:textId="105AA6C0" w:rsidR="000E4530" w:rsidRDefault="000E4530" w:rsidP="0069287E">
      <w:pPr>
        <w:tabs>
          <w:tab w:val="left" w:pos="3520"/>
          <w:tab w:val="left" w:pos="6928"/>
          <w:tab w:val="left" w:pos="10335"/>
        </w:tabs>
        <w:ind w:left="113"/>
        <w:rPr>
          <w:u w:val="single"/>
        </w:rPr>
      </w:pPr>
      <w:r w:rsidRPr="002A32AD">
        <w:rPr>
          <w:u w:val="single"/>
        </w:rPr>
        <w:lastRenderedPageBreak/>
        <w:t>FAIR VALUE ASSESSMENT</w:t>
      </w:r>
    </w:p>
    <w:p w14:paraId="16F30CD4" w14:textId="74E81D6E" w:rsidR="00536C52" w:rsidRPr="00FF634B" w:rsidRDefault="00B9337D" w:rsidP="007A3F98">
      <w:pPr>
        <w:tabs>
          <w:tab w:val="left" w:pos="3520"/>
          <w:tab w:val="left" w:pos="6928"/>
          <w:tab w:val="left" w:pos="10335"/>
        </w:tabs>
        <w:ind w:left="113"/>
      </w:pPr>
      <w:r>
        <w:t>We have completed a</w:t>
      </w:r>
      <w:r w:rsidR="004F486D" w:rsidRPr="00E46750">
        <w:t xml:space="preserve"> </w:t>
      </w:r>
      <w:r w:rsidR="00E46750" w:rsidRPr="00E46750">
        <w:t>FVA</w:t>
      </w:r>
      <w:r w:rsidR="004F486D" w:rsidRPr="00E46750">
        <w:t xml:space="preserve"> </w:t>
      </w:r>
      <w:r w:rsidR="00D22585" w:rsidRPr="00E46750">
        <w:t xml:space="preserve">for </w:t>
      </w:r>
      <w:r w:rsidR="007A3F98">
        <w:t xml:space="preserve">the </w:t>
      </w:r>
      <w:r w:rsidR="00D22585" w:rsidRPr="00E46750">
        <w:t xml:space="preserve">service </w:t>
      </w:r>
      <w:r>
        <w:t>list</w:t>
      </w:r>
      <w:r w:rsidR="007A3F98">
        <w:t>ed</w:t>
      </w:r>
      <w:r>
        <w:t xml:space="preserve"> </w:t>
      </w:r>
      <w:r w:rsidR="00DA6AD5" w:rsidRPr="00E46750">
        <w:t>above.</w:t>
      </w:r>
      <w:r w:rsidR="00DA6AD5">
        <w:t xml:space="preserve"> </w:t>
      </w:r>
    </w:p>
    <w:tbl>
      <w:tblPr>
        <w:tblStyle w:val="TableGrid"/>
        <w:tblW w:w="0" w:type="auto"/>
        <w:tblLook w:val="04A0" w:firstRow="1" w:lastRow="0" w:firstColumn="1" w:lastColumn="0" w:noHBand="0" w:noVBand="1"/>
      </w:tblPr>
      <w:tblGrid>
        <w:gridCol w:w="3407"/>
        <w:gridCol w:w="232"/>
        <w:gridCol w:w="3176"/>
        <w:gridCol w:w="3407"/>
        <w:gridCol w:w="3408"/>
      </w:tblGrid>
      <w:tr w:rsidR="00074BD2" w14:paraId="45C87E57" w14:textId="77777777" w:rsidTr="004F0DE5">
        <w:tc>
          <w:tcPr>
            <w:tcW w:w="3407" w:type="dxa"/>
          </w:tcPr>
          <w:p w14:paraId="1317D237" w14:textId="07BDEC71" w:rsidR="000E4530" w:rsidRPr="00E01545" w:rsidRDefault="000E4530" w:rsidP="00657AC6">
            <w:pPr>
              <w:rPr>
                <w:b/>
                <w:bCs/>
              </w:rPr>
            </w:pPr>
            <w:r>
              <w:rPr>
                <w:b/>
                <w:bCs/>
              </w:rPr>
              <w:t>Service</w:t>
            </w:r>
          </w:p>
        </w:tc>
        <w:tc>
          <w:tcPr>
            <w:tcW w:w="3408" w:type="dxa"/>
            <w:gridSpan w:val="2"/>
          </w:tcPr>
          <w:p w14:paraId="13E847D3" w14:textId="77777777" w:rsidR="000E4530" w:rsidRPr="00E01545" w:rsidRDefault="000E4530" w:rsidP="00657AC6">
            <w:pPr>
              <w:rPr>
                <w:b/>
                <w:bCs/>
              </w:rPr>
            </w:pPr>
            <w:r>
              <w:rPr>
                <w:b/>
                <w:bCs/>
              </w:rPr>
              <w:t>Target Market</w:t>
            </w:r>
          </w:p>
        </w:tc>
        <w:tc>
          <w:tcPr>
            <w:tcW w:w="3407" w:type="dxa"/>
          </w:tcPr>
          <w:p w14:paraId="511813D6" w14:textId="77777777" w:rsidR="000E4530" w:rsidRDefault="000E4530" w:rsidP="00657AC6">
            <w:pPr>
              <w:rPr>
                <w:b/>
                <w:bCs/>
              </w:rPr>
            </w:pPr>
            <w:r>
              <w:rPr>
                <w:b/>
                <w:bCs/>
              </w:rPr>
              <w:t>Fees and Charges</w:t>
            </w:r>
          </w:p>
        </w:tc>
        <w:tc>
          <w:tcPr>
            <w:tcW w:w="3408" w:type="dxa"/>
          </w:tcPr>
          <w:p w14:paraId="23BDDCB3" w14:textId="334713CD" w:rsidR="000E4530" w:rsidRDefault="00441167" w:rsidP="00657AC6">
            <w:pPr>
              <w:rPr>
                <w:b/>
                <w:bCs/>
              </w:rPr>
            </w:pPr>
            <w:r>
              <w:rPr>
                <w:b/>
                <w:bCs/>
              </w:rPr>
              <w:t>Cost of Delivery</w:t>
            </w:r>
          </w:p>
        </w:tc>
      </w:tr>
      <w:tr w:rsidR="00074BD2" w14:paraId="6FCFFDA5" w14:textId="77777777" w:rsidTr="004F0DE5">
        <w:tc>
          <w:tcPr>
            <w:tcW w:w="3407" w:type="dxa"/>
          </w:tcPr>
          <w:p w14:paraId="37A3BC1A" w14:textId="5C0E08E7" w:rsidR="00441167" w:rsidRDefault="00A82E27" w:rsidP="00441167">
            <w:r>
              <w:t>D</w:t>
            </w:r>
            <w:r w:rsidRPr="00B005E9">
              <w:t>iscretionary portfolio management</w:t>
            </w:r>
          </w:p>
        </w:tc>
        <w:tc>
          <w:tcPr>
            <w:tcW w:w="3408" w:type="dxa"/>
            <w:gridSpan w:val="2"/>
          </w:tcPr>
          <w:p w14:paraId="70533BA5" w14:textId="77777777" w:rsidR="00A82E27" w:rsidRDefault="00A82E27" w:rsidP="00A82E27">
            <w:r>
              <w:t>Any retail client</w:t>
            </w:r>
          </w:p>
          <w:p w14:paraId="1F740BE3" w14:textId="3AD2DB62" w:rsidR="00441167" w:rsidRDefault="00A82E27" w:rsidP="00A82E27">
            <w:r>
              <w:t>Funds = £</w:t>
            </w:r>
            <w:r w:rsidR="00DF5E3B">
              <w:t>25</w:t>
            </w:r>
            <w:r>
              <w:t>0,000</w:t>
            </w:r>
          </w:p>
        </w:tc>
        <w:tc>
          <w:tcPr>
            <w:tcW w:w="3407" w:type="dxa"/>
          </w:tcPr>
          <w:p w14:paraId="1AA94D18" w14:textId="217C18D0" w:rsidR="00326EB2" w:rsidRDefault="00A82E27" w:rsidP="00D705EF">
            <w:pPr>
              <w:pStyle w:val="ListParagraph"/>
              <w:numPr>
                <w:ilvl w:val="0"/>
                <w:numId w:val="34"/>
              </w:numPr>
              <w:ind w:left="301"/>
            </w:pPr>
            <w:r>
              <w:t>0.225% quarterly / 0.90% annually</w:t>
            </w:r>
            <w:r w:rsidR="00D705EF">
              <w:t xml:space="preserve"> (I</w:t>
            </w:r>
            <w:r w:rsidR="00BA444B">
              <w:t>M</w:t>
            </w:r>
            <w:r w:rsidR="00D705EF">
              <w:t>)</w:t>
            </w:r>
          </w:p>
          <w:p w14:paraId="59852D61" w14:textId="77777777" w:rsidR="00DE3A23" w:rsidRDefault="00DE3A23" w:rsidP="00B62403">
            <w:pPr>
              <w:pStyle w:val="ListParagraph"/>
              <w:ind w:left="301"/>
              <w:rPr>
                <w:i/>
                <w:iCs/>
              </w:rPr>
            </w:pPr>
            <w:r w:rsidRPr="00A55AE1">
              <w:rPr>
                <w:i/>
                <w:iCs/>
              </w:rPr>
              <w:t>Subject to a minimum</w:t>
            </w:r>
            <w:r>
              <w:rPr>
                <w:i/>
                <w:iCs/>
              </w:rPr>
              <w:t xml:space="preserve"> IM</w:t>
            </w:r>
            <w:r w:rsidRPr="00A55AE1">
              <w:rPr>
                <w:i/>
                <w:iCs/>
              </w:rPr>
              <w:t xml:space="preserve"> fee of £600</w:t>
            </w:r>
          </w:p>
          <w:p w14:paraId="374F64C0" w14:textId="77777777" w:rsidR="00BE167C" w:rsidRDefault="00BE167C" w:rsidP="00B62403">
            <w:pPr>
              <w:pStyle w:val="ListParagraph"/>
              <w:ind w:left="301"/>
              <w:rPr>
                <w:i/>
                <w:iCs/>
              </w:rPr>
            </w:pPr>
          </w:p>
          <w:p w14:paraId="2A22AB47" w14:textId="618A0A9C" w:rsidR="000D2504" w:rsidRPr="00BE167C" w:rsidRDefault="00BE167C" w:rsidP="00BE167C">
            <w:pPr>
              <w:pStyle w:val="ListParagraph"/>
              <w:numPr>
                <w:ilvl w:val="0"/>
                <w:numId w:val="34"/>
              </w:numPr>
              <w:ind w:left="301"/>
            </w:pPr>
            <w:r w:rsidRPr="00BE167C">
              <w:t>ISA account (if applicable) £100 per annum</w:t>
            </w:r>
          </w:p>
          <w:p w14:paraId="3FB17D7C" w14:textId="77777777" w:rsidR="00DE3A23" w:rsidRDefault="00DE3A23" w:rsidP="00DE3A23"/>
          <w:p w14:paraId="393E808B" w14:textId="348966AA" w:rsidR="001741C2" w:rsidRPr="0056159F" w:rsidRDefault="00FF3A65" w:rsidP="0056159F">
            <w:pPr>
              <w:pStyle w:val="ListParagraph"/>
              <w:numPr>
                <w:ilvl w:val="0"/>
                <w:numId w:val="34"/>
              </w:numPr>
              <w:ind w:left="301"/>
            </w:pPr>
            <w:r w:rsidRPr="00DF5E3B">
              <w:t>0.5% - 1.5%</w:t>
            </w:r>
            <w:r w:rsidR="00CE7A38">
              <w:t xml:space="preserve"> (</w:t>
            </w:r>
            <w:r>
              <w:t xml:space="preserve">AMC </w:t>
            </w:r>
            <w:r w:rsidR="00DF5E3B">
              <w:t>–</w:t>
            </w:r>
            <w:r>
              <w:t xml:space="preserve"> </w:t>
            </w:r>
            <w:r w:rsidR="00DF5E3B">
              <w:t>Fund provider</w:t>
            </w:r>
            <w:r w:rsidR="00CE7A38">
              <w:t>)</w:t>
            </w:r>
          </w:p>
          <w:p w14:paraId="4F237428" w14:textId="77777777" w:rsidR="0056159F" w:rsidRDefault="0056159F" w:rsidP="00BA444B">
            <w:pPr>
              <w:pStyle w:val="ListParagraph"/>
              <w:ind w:left="0"/>
              <w:rPr>
                <w:i/>
                <w:iCs/>
              </w:rPr>
            </w:pPr>
          </w:p>
          <w:p w14:paraId="48878E41" w14:textId="5CEAF344" w:rsidR="0056159F" w:rsidRPr="0056159F" w:rsidRDefault="00797D11" w:rsidP="0056159F">
            <w:pPr>
              <w:pStyle w:val="ListParagraph"/>
              <w:numPr>
                <w:ilvl w:val="0"/>
                <w:numId w:val="34"/>
              </w:numPr>
              <w:ind w:left="301"/>
            </w:pPr>
            <w:r>
              <w:t>Standard Transaction Commission and Dealing Costs</w:t>
            </w:r>
          </w:p>
          <w:p w14:paraId="0FA3E731" w14:textId="7C262FE4" w:rsidR="00797D11" w:rsidRPr="00797D11" w:rsidRDefault="0056159F" w:rsidP="00797D11">
            <w:pPr>
              <w:pStyle w:val="ListParagraph"/>
              <w:ind w:left="301"/>
              <w:rPr>
                <w:i/>
                <w:iCs/>
              </w:rPr>
            </w:pPr>
            <w:r>
              <w:rPr>
                <w:i/>
                <w:iCs/>
              </w:rPr>
              <w:t>Subject to a minimum commission charge of £20 per deal</w:t>
            </w:r>
          </w:p>
          <w:p w14:paraId="1DE90E55" w14:textId="67A3333C" w:rsidR="00797D11" w:rsidRPr="009A02BC" w:rsidRDefault="00797D11" w:rsidP="00797D11">
            <w:pPr>
              <w:tabs>
                <w:tab w:val="left" w:pos="-720"/>
              </w:tabs>
              <w:suppressAutoHyphens/>
              <w:jc w:val="both"/>
              <w:rPr>
                <w:rFonts w:cs="Tahoma"/>
                <w:spacing w:val="-2"/>
              </w:rPr>
            </w:pPr>
            <w:r w:rsidRPr="009A02BC">
              <w:rPr>
                <w:rFonts w:cs="Tahoma"/>
                <w:spacing w:val="-2"/>
              </w:rPr>
              <w:tab/>
            </w:r>
          </w:p>
          <w:p w14:paraId="10D789F4" w14:textId="77777777" w:rsidR="00797D11" w:rsidRPr="00DE464F" w:rsidRDefault="00797D11" w:rsidP="00DE464F">
            <w:pPr>
              <w:tabs>
                <w:tab w:val="left" w:pos="-720"/>
              </w:tabs>
              <w:suppressAutoHyphens/>
              <w:ind w:left="301"/>
              <w:jc w:val="both"/>
              <w:rPr>
                <w:u w:val="single"/>
              </w:rPr>
            </w:pPr>
            <w:r w:rsidRPr="00DE464F">
              <w:rPr>
                <w:u w:val="single"/>
              </w:rPr>
              <w:t>UK Equities and Managed Equity Funds</w:t>
            </w:r>
          </w:p>
          <w:p w14:paraId="37D41C86" w14:textId="59D51A43" w:rsidR="00797D11" w:rsidRPr="00DE464F" w:rsidRDefault="00797D11" w:rsidP="00DE464F">
            <w:pPr>
              <w:tabs>
                <w:tab w:val="left" w:pos="-720"/>
              </w:tabs>
              <w:suppressAutoHyphens/>
              <w:ind w:left="301"/>
            </w:pPr>
            <w:r w:rsidRPr="00DE464F">
              <w:t>On the first £10</w:t>
            </w:r>
            <w:r w:rsidR="00DE464F">
              <w:t>K</w:t>
            </w:r>
            <w:r w:rsidR="008A4AD9" w:rsidRPr="00DE464F">
              <w:t xml:space="preserve">- </w:t>
            </w:r>
            <w:r w:rsidRPr="00DE464F">
              <w:t>0.9%</w:t>
            </w:r>
          </w:p>
          <w:p w14:paraId="51E7AA78" w14:textId="4E7BB2A0" w:rsidR="00DE464F" w:rsidRPr="00DE464F" w:rsidRDefault="00DE464F" w:rsidP="00DE464F">
            <w:pPr>
              <w:tabs>
                <w:tab w:val="left" w:pos="-720"/>
              </w:tabs>
              <w:suppressAutoHyphens/>
              <w:ind w:left="301"/>
            </w:pPr>
            <w:r w:rsidRPr="00DE464F">
              <w:t>On the next £20K – 0.4%</w:t>
            </w:r>
          </w:p>
          <w:p w14:paraId="565FFDB4" w14:textId="14BAAACE" w:rsidR="00797D11" w:rsidRDefault="00DE464F" w:rsidP="00DE464F">
            <w:pPr>
              <w:tabs>
                <w:tab w:val="left" w:pos="-720"/>
              </w:tabs>
              <w:suppressAutoHyphens/>
              <w:ind w:left="301"/>
              <w:rPr>
                <w:rFonts w:cs="Tahoma"/>
                <w:spacing w:val="-2"/>
              </w:rPr>
            </w:pPr>
            <w:r w:rsidRPr="00DE464F">
              <w:t xml:space="preserve">Thereafter - </w:t>
            </w:r>
            <w:r w:rsidR="00797D11" w:rsidRPr="00DE464F">
              <w:t>0.3%</w:t>
            </w:r>
            <w:r w:rsidR="00797D11" w:rsidRPr="00DE464F">
              <w:tab/>
            </w:r>
            <w:r w:rsidR="00797D11" w:rsidRPr="009A02BC">
              <w:rPr>
                <w:rFonts w:cs="Tahoma"/>
                <w:spacing w:val="-2"/>
              </w:rPr>
              <w:tab/>
            </w:r>
          </w:p>
          <w:p w14:paraId="5D45B742" w14:textId="77777777" w:rsidR="00DE464F" w:rsidRDefault="00DE464F" w:rsidP="00DE464F">
            <w:pPr>
              <w:tabs>
                <w:tab w:val="left" w:pos="-720"/>
              </w:tabs>
              <w:suppressAutoHyphens/>
              <w:ind w:left="301"/>
              <w:rPr>
                <w:rFonts w:cs="Tahoma"/>
                <w:spacing w:val="-2"/>
              </w:rPr>
            </w:pPr>
          </w:p>
          <w:p w14:paraId="405D1C89" w14:textId="77777777" w:rsidR="00DE464F" w:rsidRDefault="00DE464F" w:rsidP="00DE464F">
            <w:pPr>
              <w:tabs>
                <w:tab w:val="left" w:pos="-720"/>
              </w:tabs>
              <w:suppressAutoHyphens/>
              <w:ind w:left="301"/>
              <w:rPr>
                <w:rFonts w:cs="Tahoma"/>
                <w:spacing w:val="-2"/>
              </w:rPr>
            </w:pPr>
          </w:p>
          <w:p w14:paraId="1377821C" w14:textId="77777777" w:rsidR="00DE464F" w:rsidRDefault="00DE464F" w:rsidP="00DE464F">
            <w:pPr>
              <w:tabs>
                <w:tab w:val="left" w:pos="-720"/>
              </w:tabs>
              <w:suppressAutoHyphens/>
              <w:ind w:left="301"/>
              <w:rPr>
                <w:rFonts w:cs="Tahoma"/>
                <w:spacing w:val="-2"/>
              </w:rPr>
            </w:pPr>
          </w:p>
          <w:p w14:paraId="737ABBF5" w14:textId="77777777" w:rsidR="00DE464F" w:rsidRPr="009A02BC" w:rsidRDefault="00DE464F" w:rsidP="00DE464F">
            <w:pPr>
              <w:tabs>
                <w:tab w:val="left" w:pos="-720"/>
              </w:tabs>
              <w:suppressAutoHyphens/>
              <w:ind w:left="301"/>
              <w:rPr>
                <w:rFonts w:cs="Tahoma"/>
                <w:spacing w:val="-2"/>
              </w:rPr>
            </w:pPr>
          </w:p>
          <w:p w14:paraId="3B94B6C3" w14:textId="77777777" w:rsidR="00797D11" w:rsidRPr="00DE464F" w:rsidRDefault="00797D11" w:rsidP="00DE464F">
            <w:pPr>
              <w:tabs>
                <w:tab w:val="left" w:pos="-720"/>
              </w:tabs>
              <w:suppressAutoHyphens/>
              <w:ind w:left="301"/>
              <w:jc w:val="both"/>
              <w:rPr>
                <w:u w:val="single"/>
              </w:rPr>
            </w:pPr>
            <w:r w:rsidRPr="00DE464F">
              <w:rPr>
                <w:u w:val="single"/>
              </w:rPr>
              <w:t>British Government Securities</w:t>
            </w:r>
          </w:p>
          <w:p w14:paraId="53341E8C" w14:textId="7AC42B8E" w:rsidR="00797D11" w:rsidRPr="00DE464F" w:rsidRDefault="00797D11" w:rsidP="00DE464F">
            <w:pPr>
              <w:tabs>
                <w:tab w:val="left" w:pos="-720"/>
              </w:tabs>
              <w:suppressAutoHyphens/>
              <w:ind w:left="301"/>
              <w:jc w:val="both"/>
            </w:pPr>
            <w:r w:rsidRPr="00DE464F">
              <w:t>On the first £10</w:t>
            </w:r>
            <w:r w:rsidR="00DE464F">
              <w:t xml:space="preserve">K - </w:t>
            </w:r>
            <w:r w:rsidRPr="00DE464F">
              <w:t>0.75%</w:t>
            </w:r>
            <w:r w:rsidRPr="00DE464F">
              <w:tab/>
            </w:r>
          </w:p>
          <w:p w14:paraId="1184B42F" w14:textId="72D7A21E" w:rsidR="00797D11" w:rsidRPr="00DE464F" w:rsidRDefault="00797D11" w:rsidP="00DE464F">
            <w:pPr>
              <w:tabs>
                <w:tab w:val="left" w:pos="-720"/>
              </w:tabs>
              <w:suppressAutoHyphens/>
              <w:ind w:left="301"/>
              <w:jc w:val="both"/>
            </w:pPr>
            <w:r w:rsidRPr="00DE464F">
              <w:t>On the next £</w:t>
            </w:r>
            <w:r w:rsidR="00DE464F">
              <w:t xml:space="preserve">20K - </w:t>
            </w:r>
            <w:r w:rsidRPr="00DE464F">
              <w:t>0.4%</w:t>
            </w:r>
          </w:p>
          <w:p w14:paraId="2B0121F4" w14:textId="6EA37CA5" w:rsidR="00797D11" w:rsidRPr="00DE464F" w:rsidRDefault="00797D11" w:rsidP="00DE464F">
            <w:pPr>
              <w:tabs>
                <w:tab w:val="left" w:pos="-720"/>
              </w:tabs>
              <w:suppressAutoHyphens/>
              <w:ind w:left="301"/>
              <w:jc w:val="both"/>
            </w:pPr>
            <w:r w:rsidRPr="00DE464F">
              <w:t>Thereafter</w:t>
            </w:r>
            <w:r w:rsidR="00DE464F">
              <w:t xml:space="preserve"> - </w:t>
            </w:r>
            <w:r w:rsidRPr="00DE464F">
              <w:t>0.3%</w:t>
            </w:r>
            <w:r w:rsidRPr="00DE464F">
              <w:tab/>
            </w:r>
            <w:r w:rsidRPr="00DE464F">
              <w:tab/>
            </w:r>
          </w:p>
          <w:p w14:paraId="65804DED" w14:textId="77777777" w:rsidR="00797D11" w:rsidRPr="009A02BC" w:rsidRDefault="00797D11" w:rsidP="00797D11">
            <w:pPr>
              <w:tabs>
                <w:tab w:val="left" w:pos="-720"/>
              </w:tabs>
              <w:suppressAutoHyphens/>
              <w:jc w:val="both"/>
              <w:rPr>
                <w:rFonts w:cs="Tahoma"/>
                <w:spacing w:val="-2"/>
              </w:rPr>
            </w:pPr>
          </w:p>
          <w:p w14:paraId="063A7776" w14:textId="77777777" w:rsidR="00797D11" w:rsidRPr="00DE464F" w:rsidRDefault="00797D11" w:rsidP="00DE464F">
            <w:pPr>
              <w:tabs>
                <w:tab w:val="left" w:pos="-720"/>
              </w:tabs>
              <w:suppressAutoHyphens/>
              <w:ind w:left="301"/>
              <w:jc w:val="both"/>
              <w:rPr>
                <w:u w:val="single"/>
              </w:rPr>
            </w:pPr>
            <w:r w:rsidRPr="00DE464F">
              <w:rPr>
                <w:u w:val="single"/>
              </w:rPr>
              <w:t>Other Fixed Interest Holdings</w:t>
            </w:r>
          </w:p>
          <w:p w14:paraId="4C4183DC" w14:textId="50721583" w:rsidR="00797D11" w:rsidRPr="00DE464F" w:rsidRDefault="00797D11" w:rsidP="00DE464F">
            <w:pPr>
              <w:tabs>
                <w:tab w:val="left" w:pos="-720"/>
              </w:tabs>
              <w:suppressAutoHyphens/>
              <w:ind w:left="301"/>
              <w:jc w:val="both"/>
            </w:pPr>
            <w:r w:rsidRPr="00DE464F">
              <w:t>On the first £10</w:t>
            </w:r>
            <w:r w:rsidR="00DE464F">
              <w:t xml:space="preserve">K - </w:t>
            </w:r>
            <w:r w:rsidRPr="00DE464F">
              <w:t>0.8%</w:t>
            </w:r>
          </w:p>
          <w:p w14:paraId="086C664B" w14:textId="1BF0D0A9" w:rsidR="00797D11" w:rsidRPr="00DE464F" w:rsidRDefault="00797D11" w:rsidP="00DE464F">
            <w:pPr>
              <w:tabs>
                <w:tab w:val="left" w:pos="-720"/>
              </w:tabs>
              <w:suppressAutoHyphens/>
              <w:ind w:left="301"/>
              <w:jc w:val="both"/>
            </w:pPr>
            <w:r w:rsidRPr="00DE464F">
              <w:t>On the next £20</w:t>
            </w:r>
            <w:r w:rsidR="00DE464F">
              <w:t xml:space="preserve">K - </w:t>
            </w:r>
            <w:r w:rsidRPr="00DE464F">
              <w:t>0.4%</w:t>
            </w:r>
          </w:p>
          <w:p w14:paraId="419CF6C8" w14:textId="24A0BF94" w:rsidR="00797D11" w:rsidRPr="00DE464F" w:rsidRDefault="00797D11" w:rsidP="00DE464F">
            <w:pPr>
              <w:tabs>
                <w:tab w:val="left" w:pos="-720"/>
              </w:tabs>
              <w:suppressAutoHyphens/>
              <w:ind w:left="301"/>
              <w:jc w:val="both"/>
            </w:pPr>
            <w:r w:rsidRPr="00DE464F">
              <w:t>Thereafter</w:t>
            </w:r>
            <w:r w:rsidR="00DE464F">
              <w:t xml:space="preserve"> - </w:t>
            </w:r>
            <w:r w:rsidRPr="00DE464F">
              <w:t>0.3%</w:t>
            </w:r>
          </w:p>
          <w:p w14:paraId="6367D42D" w14:textId="77777777" w:rsidR="0056159F" w:rsidRDefault="0056159F" w:rsidP="00BA444B">
            <w:pPr>
              <w:pStyle w:val="ListParagraph"/>
              <w:ind w:left="0"/>
              <w:rPr>
                <w:i/>
                <w:iCs/>
              </w:rPr>
            </w:pPr>
          </w:p>
          <w:p w14:paraId="41F8C028" w14:textId="4B255E4E" w:rsidR="0056159F" w:rsidRPr="0056159F" w:rsidRDefault="00DE464F" w:rsidP="00BA444B">
            <w:pPr>
              <w:pStyle w:val="ListParagraph"/>
              <w:ind w:left="0"/>
              <w:rPr>
                <w:b/>
                <w:bCs/>
                <w:i/>
                <w:iCs/>
              </w:rPr>
            </w:pPr>
            <w:r>
              <w:rPr>
                <w:b/>
                <w:bCs/>
                <w:i/>
                <w:iCs/>
              </w:rPr>
              <w:t>Typ</w:t>
            </w:r>
            <w:r w:rsidR="00B60154">
              <w:rPr>
                <w:b/>
                <w:bCs/>
                <w:i/>
                <w:iCs/>
              </w:rPr>
              <w:t>ical A</w:t>
            </w:r>
            <w:r w:rsidR="0056159F" w:rsidRPr="0056159F">
              <w:rPr>
                <w:b/>
                <w:bCs/>
                <w:i/>
                <w:iCs/>
              </w:rPr>
              <w:t>verage total charge £</w:t>
            </w:r>
            <w:r w:rsidR="00DF5E3B">
              <w:rPr>
                <w:b/>
                <w:bCs/>
                <w:i/>
                <w:iCs/>
              </w:rPr>
              <w:t>5,000</w:t>
            </w:r>
          </w:p>
        </w:tc>
        <w:tc>
          <w:tcPr>
            <w:tcW w:w="3408" w:type="dxa"/>
          </w:tcPr>
          <w:p w14:paraId="33E6F19E" w14:textId="272A334B" w:rsidR="00D12487" w:rsidRDefault="00CE7A38" w:rsidP="00441167">
            <w:r>
              <w:lastRenderedPageBreak/>
              <w:t>£</w:t>
            </w:r>
            <w:r w:rsidR="00DF5E3B">
              <w:t>2,825</w:t>
            </w:r>
          </w:p>
          <w:p w14:paraId="7EF09D50" w14:textId="43306D89" w:rsidR="00441167" w:rsidRDefault="00D12487" w:rsidP="00441167">
            <w:r>
              <w:t>(average cost per annum/per client)</w:t>
            </w:r>
          </w:p>
        </w:tc>
      </w:tr>
      <w:tr w:rsidR="00E86670" w14:paraId="423A7F2A" w14:textId="77777777" w:rsidTr="004F0DE5">
        <w:tc>
          <w:tcPr>
            <w:tcW w:w="3407" w:type="dxa"/>
          </w:tcPr>
          <w:p w14:paraId="13F8A9FD" w14:textId="2D3A34AF" w:rsidR="00E86670" w:rsidRDefault="00E86670" w:rsidP="00E86670">
            <w:r>
              <w:t>D</w:t>
            </w:r>
            <w:r w:rsidRPr="00B005E9">
              <w:t>iscretionary portfolio management</w:t>
            </w:r>
          </w:p>
        </w:tc>
        <w:tc>
          <w:tcPr>
            <w:tcW w:w="3408" w:type="dxa"/>
            <w:gridSpan w:val="2"/>
          </w:tcPr>
          <w:p w14:paraId="2E9DE067" w14:textId="77777777" w:rsidR="00E86670" w:rsidRDefault="00E86670" w:rsidP="00E86670">
            <w:r>
              <w:t>Any retail client</w:t>
            </w:r>
          </w:p>
          <w:p w14:paraId="459E0E13" w14:textId="46717D15" w:rsidR="00E86670" w:rsidRDefault="00E86670" w:rsidP="007F247D">
            <w:r>
              <w:t>Funds = £</w:t>
            </w:r>
            <w:r w:rsidR="00DF5E3B">
              <w:t>500,000</w:t>
            </w:r>
          </w:p>
        </w:tc>
        <w:tc>
          <w:tcPr>
            <w:tcW w:w="3407" w:type="dxa"/>
          </w:tcPr>
          <w:p w14:paraId="5C141B50" w14:textId="4D5E2867" w:rsidR="007B3EF6" w:rsidRDefault="00E86670" w:rsidP="007B3EF6">
            <w:pPr>
              <w:pStyle w:val="ListParagraph"/>
              <w:numPr>
                <w:ilvl w:val="0"/>
                <w:numId w:val="34"/>
              </w:numPr>
              <w:ind w:left="301"/>
            </w:pPr>
            <w:r>
              <w:t>0.225% quarterly / 0.90% annually (IM)</w:t>
            </w:r>
            <w:r w:rsidR="007F247D">
              <w:t xml:space="preserve"> on £500K</w:t>
            </w:r>
          </w:p>
          <w:p w14:paraId="1D299EE3" w14:textId="11B795DA" w:rsidR="007B3EF6" w:rsidRDefault="007B3EF6" w:rsidP="007B3EF6">
            <w:pPr>
              <w:pStyle w:val="ListParagraph"/>
              <w:numPr>
                <w:ilvl w:val="0"/>
                <w:numId w:val="34"/>
              </w:numPr>
              <w:ind w:left="301"/>
            </w:pPr>
            <w:r>
              <w:t>0.1875% quarterly / 0.75% annually</w:t>
            </w:r>
            <w:r w:rsidR="007F247D">
              <w:t xml:space="preserve"> on £500K</w:t>
            </w:r>
          </w:p>
          <w:p w14:paraId="752D0180" w14:textId="77777777" w:rsidR="00BE167C" w:rsidRDefault="00BE167C" w:rsidP="00BE167C">
            <w:pPr>
              <w:pStyle w:val="ListParagraph"/>
              <w:ind w:left="301"/>
            </w:pPr>
          </w:p>
          <w:p w14:paraId="0229ABB5" w14:textId="37DF3F3D" w:rsidR="00BE167C" w:rsidRDefault="00BE167C" w:rsidP="00BE167C">
            <w:pPr>
              <w:pStyle w:val="ListParagraph"/>
              <w:numPr>
                <w:ilvl w:val="0"/>
                <w:numId w:val="34"/>
              </w:numPr>
              <w:ind w:left="301"/>
            </w:pPr>
            <w:r w:rsidRPr="00BE167C">
              <w:t>ISA account (if applicable) £100 per annum</w:t>
            </w:r>
          </w:p>
          <w:p w14:paraId="0369B8AB" w14:textId="77777777" w:rsidR="00E86670" w:rsidRDefault="00E86670" w:rsidP="00E86670"/>
          <w:p w14:paraId="09DE1D84" w14:textId="2CF75EDB" w:rsidR="00E86670" w:rsidRPr="0056159F" w:rsidRDefault="00E86670" w:rsidP="00E86670">
            <w:pPr>
              <w:pStyle w:val="ListParagraph"/>
              <w:numPr>
                <w:ilvl w:val="0"/>
                <w:numId w:val="34"/>
              </w:numPr>
              <w:ind w:left="301"/>
            </w:pPr>
            <w:r w:rsidRPr="00DF5E3B">
              <w:t>0.5% - 1.5%</w:t>
            </w:r>
            <w:r>
              <w:t xml:space="preserve"> (AMC </w:t>
            </w:r>
            <w:r w:rsidR="00DF5E3B">
              <w:t>– Fund provider</w:t>
            </w:r>
            <w:r>
              <w:t>)</w:t>
            </w:r>
          </w:p>
          <w:p w14:paraId="23E5F98F" w14:textId="77777777" w:rsidR="00E86670" w:rsidRDefault="00E86670" w:rsidP="00E86670">
            <w:pPr>
              <w:pStyle w:val="ListParagraph"/>
              <w:ind w:left="0"/>
              <w:rPr>
                <w:i/>
                <w:iCs/>
              </w:rPr>
            </w:pPr>
          </w:p>
          <w:p w14:paraId="48A3B778" w14:textId="77777777" w:rsidR="00E86670" w:rsidRPr="0056159F" w:rsidRDefault="00E86670" w:rsidP="00E86670">
            <w:pPr>
              <w:pStyle w:val="ListParagraph"/>
              <w:numPr>
                <w:ilvl w:val="0"/>
                <w:numId w:val="34"/>
              </w:numPr>
              <w:ind w:left="301"/>
            </w:pPr>
            <w:r>
              <w:t>Standard Transaction Commission and Dealing Costs</w:t>
            </w:r>
          </w:p>
          <w:p w14:paraId="4BC24C3D" w14:textId="77777777" w:rsidR="00E86670" w:rsidRPr="00797D11" w:rsidRDefault="00E86670" w:rsidP="00E86670">
            <w:pPr>
              <w:pStyle w:val="ListParagraph"/>
              <w:ind w:left="301"/>
              <w:rPr>
                <w:i/>
                <w:iCs/>
              </w:rPr>
            </w:pPr>
            <w:r>
              <w:rPr>
                <w:i/>
                <w:iCs/>
              </w:rPr>
              <w:t>Subject to a minimum commission charge of £20 per deal</w:t>
            </w:r>
          </w:p>
          <w:p w14:paraId="77F38B3C" w14:textId="77777777" w:rsidR="00E86670" w:rsidRPr="009A02BC" w:rsidRDefault="00E86670" w:rsidP="00E86670">
            <w:pPr>
              <w:tabs>
                <w:tab w:val="left" w:pos="-720"/>
              </w:tabs>
              <w:suppressAutoHyphens/>
              <w:jc w:val="both"/>
              <w:rPr>
                <w:rFonts w:cs="Tahoma"/>
                <w:spacing w:val="-2"/>
              </w:rPr>
            </w:pPr>
            <w:r w:rsidRPr="009A02BC">
              <w:rPr>
                <w:rFonts w:cs="Tahoma"/>
                <w:spacing w:val="-2"/>
              </w:rPr>
              <w:lastRenderedPageBreak/>
              <w:tab/>
            </w:r>
          </w:p>
          <w:p w14:paraId="55317D26" w14:textId="77777777" w:rsidR="00E86670" w:rsidRPr="00DE464F" w:rsidRDefault="00E86670" w:rsidP="00E86670">
            <w:pPr>
              <w:tabs>
                <w:tab w:val="left" w:pos="-720"/>
              </w:tabs>
              <w:suppressAutoHyphens/>
              <w:ind w:left="301"/>
              <w:jc w:val="both"/>
              <w:rPr>
                <w:u w:val="single"/>
              </w:rPr>
            </w:pPr>
            <w:r w:rsidRPr="00DE464F">
              <w:rPr>
                <w:u w:val="single"/>
              </w:rPr>
              <w:t>UK Equities and Managed Equity Funds</w:t>
            </w:r>
          </w:p>
          <w:p w14:paraId="669AFA7C" w14:textId="77777777" w:rsidR="00E86670" w:rsidRPr="00DE464F" w:rsidRDefault="00E86670" w:rsidP="00E86670">
            <w:pPr>
              <w:tabs>
                <w:tab w:val="left" w:pos="-720"/>
              </w:tabs>
              <w:suppressAutoHyphens/>
              <w:ind w:left="301"/>
            </w:pPr>
            <w:r w:rsidRPr="00DE464F">
              <w:t>On the first £10</w:t>
            </w:r>
            <w:r>
              <w:t>K</w:t>
            </w:r>
            <w:r w:rsidRPr="00DE464F">
              <w:t>- 0.9%</w:t>
            </w:r>
          </w:p>
          <w:p w14:paraId="62886586" w14:textId="77777777" w:rsidR="00E86670" w:rsidRPr="00DE464F" w:rsidRDefault="00E86670" w:rsidP="00E86670">
            <w:pPr>
              <w:tabs>
                <w:tab w:val="left" w:pos="-720"/>
              </w:tabs>
              <w:suppressAutoHyphens/>
              <w:ind w:left="301"/>
            </w:pPr>
            <w:r w:rsidRPr="00DE464F">
              <w:t>On the next £20K – 0.4%</w:t>
            </w:r>
          </w:p>
          <w:p w14:paraId="25ABB6E6" w14:textId="77777777" w:rsidR="00E86670" w:rsidRDefault="00E86670" w:rsidP="00E86670">
            <w:pPr>
              <w:tabs>
                <w:tab w:val="left" w:pos="-720"/>
              </w:tabs>
              <w:suppressAutoHyphens/>
              <w:ind w:left="301"/>
              <w:rPr>
                <w:rFonts w:cs="Tahoma"/>
                <w:spacing w:val="-2"/>
              </w:rPr>
            </w:pPr>
            <w:r w:rsidRPr="00DE464F">
              <w:t>Thereafter - 0.3%</w:t>
            </w:r>
            <w:r w:rsidRPr="00DE464F">
              <w:tab/>
            </w:r>
            <w:r w:rsidRPr="009A02BC">
              <w:rPr>
                <w:rFonts w:cs="Tahoma"/>
                <w:spacing w:val="-2"/>
              </w:rPr>
              <w:tab/>
            </w:r>
          </w:p>
          <w:p w14:paraId="2DC68868" w14:textId="77777777" w:rsidR="00E86670" w:rsidRPr="009A02BC" w:rsidRDefault="00E86670" w:rsidP="007B3EF6">
            <w:pPr>
              <w:tabs>
                <w:tab w:val="left" w:pos="-720"/>
              </w:tabs>
              <w:suppressAutoHyphens/>
              <w:rPr>
                <w:rFonts w:cs="Tahoma"/>
                <w:spacing w:val="-2"/>
              </w:rPr>
            </w:pPr>
          </w:p>
          <w:p w14:paraId="346BD9F2" w14:textId="77777777" w:rsidR="00E86670" w:rsidRPr="00DE464F" w:rsidRDefault="00E86670" w:rsidP="00E86670">
            <w:pPr>
              <w:tabs>
                <w:tab w:val="left" w:pos="-720"/>
              </w:tabs>
              <w:suppressAutoHyphens/>
              <w:ind w:left="301"/>
              <w:jc w:val="both"/>
              <w:rPr>
                <w:u w:val="single"/>
              </w:rPr>
            </w:pPr>
            <w:r w:rsidRPr="00DE464F">
              <w:rPr>
                <w:u w:val="single"/>
              </w:rPr>
              <w:t>British Government Securities</w:t>
            </w:r>
          </w:p>
          <w:p w14:paraId="2894DC6D" w14:textId="77777777" w:rsidR="00E86670" w:rsidRPr="00DE464F" w:rsidRDefault="00E86670" w:rsidP="00E86670">
            <w:pPr>
              <w:tabs>
                <w:tab w:val="left" w:pos="-720"/>
              </w:tabs>
              <w:suppressAutoHyphens/>
              <w:ind w:left="301"/>
              <w:jc w:val="both"/>
            </w:pPr>
            <w:r w:rsidRPr="00DE464F">
              <w:t>On the first £10</w:t>
            </w:r>
            <w:r>
              <w:t xml:space="preserve">K - </w:t>
            </w:r>
            <w:r w:rsidRPr="00DE464F">
              <w:t>0.75%</w:t>
            </w:r>
            <w:r w:rsidRPr="00DE464F">
              <w:tab/>
            </w:r>
          </w:p>
          <w:p w14:paraId="71D90E52" w14:textId="77777777" w:rsidR="00E86670" w:rsidRPr="00DE464F" w:rsidRDefault="00E86670" w:rsidP="00E86670">
            <w:pPr>
              <w:tabs>
                <w:tab w:val="left" w:pos="-720"/>
              </w:tabs>
              <w:suppressAutoHyphens/>
              <w:ind w:left="301"/>
              <w:jc w:val="both"/>
            </w:pPr>
            <w:r w:rsidRPr="00DE464F">
              <w:t>On the next £</w:t>
            </w:r>
            <w:r>
              <w:t xml:space="preserve">20K - </w:t>
            </w:r>
            <w:r w:rsidRPr="00DE464F">
              <w:t>0.4%</w:t>
            </w:r>
          </w:p>
          <w:p w14:paraId="2F075FFE" w14:textId="77777777" w:rsidR="00E86670" w:rsidRPr="00DE464F" w:rsidRDefault="00E86670" w:rsidP="00E86670">
            <w:pPr>
              <w:tabs>
                <w:tab w:val="left" w:pos="-720"/>
              </w:tabs>
              <w:suppressAutoHyphens/>
              <w:ind w:left="301"/>
              <w:jc w:val="both"/>
            </w:pPr>
            <w:r w:rsidRPr="00DE464F">
              <w:t>Thereafter</w:t>
            </w:r>
            <w:r>
              <w:t xml:space="preserve"> - </w:t>
            </w:r>
            <w:r w:rsidRPr="00DE464F">
              <w:t>0.3%</w:t>
            </w:r>
            <w:r w:rsidRPr="00DE464F">
              <w:tab/>
            </w:r>
            <w:r w:rsidRPr="00DE464F">
              <w:tab/>
            </w:r>
          </w:p>
          <w:p w14:paraId="48FA6505" w14:textId="77777777" w:rsidR="00E86670" w:rsidRPr="009A02BC" w:rsidRDefault="00E86670" w:rsidP="00E86670">
            <w:pPr>
              <w:tabs>
                <w:tab w:val="left" w:pos="-720"/>
              </w:tabs>
              <w:suppressAutoHyphens/>
              <w:jc w:val="both"/>
              <w:rPr>
                <w:rFonts w:cs="Tahoma"/>
                <w:spacing w:val="-2"/>
              </w:rPr>
            </w:pPr>
          </w:p>
          <w:p w14:paraId="4902512D" w14:textId="77777777" w:rsidR="00E86670" w:rsidRPr="00DE464F" w:rsidRDefault="00E86670" w:rsidP="00E86670">
            <w:pPr>
              <w:tabs>
                <w:tab w:val="left" w:pos="-720"/>
              </w:tabs>
              <w:suppressAutoHyphens/>
              <w:ind w:left="301"/>
              <w:jc w:val="both"/>
              <w:rPr>
                <w:u w:val="single"/>
              </w:rPr>
            </w:pPr>
            <w:r w:rsidRPr="00DE464F">
              <w:rPr>
                <w:u w:val="single"/>
              </w:rPr>
              <w:t>Other Fixed Interest Holdings</w:t>
            </w:r>
          </w:p>
          <w:p w14:paraId="78F0F573" w14:textId="77777777" w:rsidR="00E86670" w:rsidRPr="00DE464F" w:rsidRDefault="00E86670" w:rsidP="00E86670">
            <w:pPr>
              <w:tabs>
                <w:tab w:val="left" w:pos="-720"/>
              </w:tabs>
              <w:suppressAutoHyphens/>
              <w:ind w:left="301"/>
              <w:jc w:val="both"/>
            </w:pPr>
            <w:r w:rsidRPr="00DE464F">
              <w:t>On the first £10</w:t>
            </w:r>
            <w:r>
              <w:t xml:space="preserve">K - </w:t>
            </w:r>
            <w:r w:rsidRPr="00DE464F">
              <w:t>0.8%</w:t>
            </w:r>
          </w:p>
          <w:p w14:paraId="4F052F44" w14:textId="77777777" w:rsidR="00E86670" w:rsidRPr="00DE464F" w:rsidRDefault="00E86670" w:rsidP="00E86670">
            <w:pPr>
              <w:tabs>
                <w:tab w:val="left" w:pos="-720"/>
              </w:tabs>
              <w:suppressAutoHyphens/>
              <w:ind w:left="301"/>
              <w:jc w:val="both"/>
            </w:pPr>
            <w:r w:rsidRPr="00DE464F">
              <w:t>On the next £20</w:t>
            </w:r>
            <w:r>
              <w:t xml:space="preserve">K - </w:t>
            </w:r>
            <w:r w:rsidRPr="00DE464F">
              <w:t>0.4%</w:t>
            </w:r>
          </w:p>
          <w:p w14:paraId="14F33286" w14:textId="77777777" w:rsidR="00E86670" w:rsidRPr="00DE464F" w:rsidRDefault="00E86670" w:rsidP="00E86670">
            <w:pPr>
              <w:tabs>
                <w:tab w:val="left" w:pos="-720"/>
              </w:tabs>
              <w:suppressAutoHyphens/>
              <w:ind w:left="301"/>
              <w:jc w:val="both"/>
            </w:pPr>
            <w:r w:rsidRPr="00DE464F">
              <w:t>Thereafter</w:t>
            </w:r>
            <w:r>
              <w:t xml:space="preserve"> - </w:t>
            </w:r>
            <w:r w:rsidRPr="00DE464F">
              <w:t>0.3%</w:t>
            </w:r>
          </w:p>
          <w:p w14:paraId="50E60AF5" w14:textId="77777777" w:rsidR="00E86670" w:rsidRDefault="00E86670" w:rsidP="00E86670">
            <w:pPr>
              <w:pStyle w:val="ListParagraph"/>
              <w:ind w:left="0"/>
              <w:rPr>
                <w:i/>
                <w:iCs/>
              </w:rPr>
            </w:pPr>
          </w:p>
          <w:p w14:paraId="5B8ECD76" w14:textId="1CE8D9C6" w:rsidR="00E86670" w:rsidRDefault="00E86670" w:rsidP="00E86670">
            <w:pPr>
              <w:pStyle w:val="ListParagraph"/>
              <w:numPr>
                <w:ilvl w:val="0"/>
                <w:numId w:val="34"/>
              </w:numPr>
              <w:ind w:left="301"/>
            </w:pPr>
            <w:r>
              <w:rPr>
                <w:b/>
                <w:bCs/>
                <w:i/>
                <w:iCs/>
              </w:rPr>
              <w:t>Typical A</w:t>
            </w:r>
            <w:r w:rsidRPr="0056159F">
              <w:rPr>
                <w:b/>
                <w:bCs/>
                <w:i/>
                <w:iCs/>
              </w:rPr>
              <w:t>verage total charge £</w:t>
            </w:r>
            <w:r w:rsidR="00DF5E3B">
              <w:rPr>
                <w:b/>
                <w:bCs/>
                <w:i/>
                <w:iCs/>
              </w:rPr>
              <w:t>10,000</w:t>
            </w:r>
          </w:p>
        </w:tc>
        <w:tc>
          <w:tcPr>
            <w:tcW w:w="3408" w:type="dxa"/>
          </w:tcPr>
          <w:p w14:paraId="14D6B7C8" w14:textId="0857EE0B" w:rsidR="00D12487" w:rsidRDefault="00D12487" w:rsidP="00D12487">
            <w:r>
              <w:lastRenderedPageBreak/>
              <w:t>£2</w:t>
            </w:r>
            <w:r w:rsidR="00DF5E3B">
              <w:t>,825</w:t>
            </w:r>
            <w:r>
              <w:t xml:space="preserve"> </w:t>
            </w:r>
          </w:p>
          <w:p w14:paraId="106D0A8D" w14:textId="0C552AA8" w:rsidR="00E86670" w:rsidRDefault="00D12487" w:rsidP="00D12487">
            <w:r>
              <w:t>(average cost per annum/per client)</w:t>
            </w:r>
          </w:p>
        </w:tc>
      </w:tr>
      <w:tr w:rsidR="007B3EF6" w14:paraId="0A1AD3CE" w14:textId="77777777" w:rsidTr="004F0DE5">
        <w:tc>
          <w:tcPr>
            <w:tcW w:w="3407" w:type="dxa"/>
          </w:tcPr>
          <w:p w14:paraId="3274D526" w14:textId="3714044B" w:rsidR="007B3EF6" w:rsidRDefault="007B3EF6" w:rsidP="007B3EF6">
            <w:r>
              <w:t>D</w:t>
            </w:r>
            <w:r w:rsidRPr="00B005E9">
              <w:t>iscretionary portfolio management</w:t>
            </w:r>
          </w:p>
        </w:tc>
        <w:tc>
          <w:tcPr>
            <w:tcW w:w="3408" w:type="dxa"/>
            <w:gridSpan w:val="2"/>
          </w:tcPr>
          <w:p w14:paraId="15F59188" w14:textId="77777777" w:rsidR="007B3EF6" w:rsidRDefault="007B3EF6" w:rsidP="007B3EF6">
            <w:r>
              <w:t>Any retail client</w:t>
            </w:r>
          </w:p>
          <w:p w14:paraId="4721E12E" w14:textId="2DB3582B" w:rsidR="007B3EF6" w:rsidRDefault="007B3EF6" w:rsidP="007F247D">
            <w:r>
              <w:t>Funds = £</w:t>
            </w:r>
            <w:r w:rsidR="00DF5E3B">
              <w:t>1</w:t>
            </w:r>
            <w:r w:rsidR="007F247D">
              <w:t>M</w:t>
            </w:r>
          </w:p>
        </w:tc>
        <w:tc>
          <w:tcPr>
            <w:tcW w:w="3407" w:type="dxa"/>
          </w:tcPr>
          <w:p w14:paraId="5F671477" w14:textId="757F4940" w:rsidR="007B3EF6" w:rsidRDefault="007B3EF6" w:rsidP="007B3EF6">
            <w:pPr>
              <w:pStyle w:val="ListParagraph"/>
              <w:numPr>
                <w:ilvl w:val="0"/>
                <w:numId w:val="34"/>
              </w:numPr>
              <w:ind w:left="301"/>
            </w:pPr>
            <w:r>
              <w:t>0.225% quarterly / 0.90% annually (IM)</w:t>
            </w:r>
            <w:r w:rsidR="007F247D">
              <w:t xml:space="preserve"> on £500K</w:t>
            </w:r>
          </w:p>
          <w:p w14:paraId="28A87526" w14:textId="77777777" w:rsidR="00DF5385" w:rsidRDefault="007B3EF6" w:rsidP="007F247D">
            <w:pPr>
              <w:pStyle w:val="ListParagraph"/>
              <w:numPr>
                <w:ilvl w:val="0"/>
                <w:numId w:val="34"/>
              </w:numPr>
              <w:ind w:left="301"/>
            </w:pPr>
            <w:r>
              <w:t>0.1875% quarterly / 0.75% annually</w:t>
            </w:r>
            <w:r w:rsidR="00DF5385">
              <w:t xml:space="preserve"> on £500K</w:t>
            </w:r>
          </w:p>
          <w:p w14:paraId="707430C1" w14:textId="13781968" w:rsidR="007F247D" w:rsidRDefault="007F247D" w:rsidP="00DF5385">
            <w:pPr>
              <w:pStyle w:val="ListParagraph"/>
              <w:numPr>
                <w:ilvl w:val="0"/>
                <w:numId w:val="34"/>
              </w:numPr>
              <w:ind w:left="301"/>
            </w:pPr>
            <w:r>
              <w:t>0.125% quarterly / 0.</w:t>
            </w:r>
            <w:r w:rsidR="00DF5E3B">
              <w:t>5</w:t>
            </w:r>
            <w:r>
              <w:t>0% annually</w:t>
            </w:r>
            <w:r w:rsidR="00DF5385">
              <w:t xml:space="preserve"> on £1M</w:t>
            </w:r>
          </w:p>
          <w:p w14:paraId="65DFF64D" w14:textId="323278C5" w:rsidR="00BE167C" w:rsidRDefault="00BE167C" w:rsidP="00BE167C">
            <w:pPr>
              <w:pStyle w:val="ListParagraph"/>
              <w:numPr>
                <w:ilvl w:val="0"/>
                <w:numId w:val="34"/>
              </w:numPr>
              <w:ind w:left="301"/>
            </w:pPr>
            <w:r w:rsidRPr="00BE167C">
              <w:t>ISA account (if applicable) £100 per annum</w:t>
            </w:r>
          </w:p>
          <w:p w14:paraId="75205A53" w14:textId="77777777" w:rsidR="007B3EF6" w:rsidRDefault="007B3EF6" w:rsidP="007B3EF6"/>
          <w:p w14:paraId="75360AAD" w14:textId="6455F6B0" w:rsidR="007B3EF6" w:rsidRPr="0056159F" w:rsidRDefault="007B3EF6" w:rsidP="007B3EF6">
            <w:pPr>
              <w:pStyle w:val="ListParagraph"/>
              <w:numPr>
                <w:ilvl w:val="0"/>
                <w:numId w:val="34"/>
              </w:numPr>
              <w:ind w:left="301"/>
            </w:pPr>
            <w:r w:rsidRPr="00DF5E3B">
              <w:lastRenderedPageBreak/>
              <w:t>0.5% - 1.5%</w:t>
            </w:r>
            <w:r>
              <w:t xml:space="preserve"> (AMC </w:t>
            </w:r>
            <w:r w:rsidR="00DF5E3B">
              <w:t>–</w:t>
            </w:r>
            <w:r>
              <w:t xml:space="preserve"> </w:t>
            </w:r>
            <w:r w:rsidR="00DF5E3B">
              <w:t>Fund provider</w:t>
            </w:r>
            <w:r>
              <w:t>)</w:t>
            </w:r>
          </w:p>
          <w:p w14:paraId="1EAFDFD2" w14:textId="77777777" w:rsidR="007B3EF6" w:rsidRDefault="007B3EF6" w:rsidP="007B3EF6">
            <w:pPr>
              <w:pStyle w:val="ListParagraph"/>
              <w:ind w:left="0"/>
              <w:rPr>
                <w:i/>
                <w:iCs/>
              </w:rPr>
            </w:pPr>
          </w:p>
          <w:p w14:paraId="5C2A4910" w14:textId="77777777" w:rsidR="007B3EF6" w:rsidRPr="0056159F" w:rsidRDefault="007B3EF6" w:rsidP="007B3EF6">
            <w:pPr>
              <w:pStyle w:val="ListParagraph"/>
              <w:numPr>
                <w:ilvl w:val="0"/>
                <w:numId w:val="34"/>
              </w:numPr>
              <w:ind w:left="301"/>
            </w:pPr>
            <w:r>
              <w:t>Standard Transaction Commission and Dealing Costs</w:t>
            </w:r>
          </w:p>
          <w:p w14:paraId="5D41D97B" w14:textId="77777777" w:rsidR="007B3EF6" w:rsidRPr="00797D11" w:rsidRDefault="007B3EF6" w:rsidP="007B3EF6">
            <w:pPr>
              <w:pStyle w:val="ListParagraph"/>
              <w:ind w:left="301"/>
              <w:rPr>
                <w:i/>
                <w:iCs/>
              </w:rPr>
            </w:pPr>
            <w:r>
              <w:rPr>
                <w:i/>
                <w:iCs/>
              </w:rPr>
              <w:t>Subject to a minimum commission charge of £20 per deal</w:t>
            </w:r>
          </w:p>
          <w:p w14:paraId="42412863" w14:textId="77777777" w:rsidR="007B3EF6" w:rsidRPr="009A02BC" w:rsidRDefault="007B3EF6" w:rsidP="007B3EF6">
            <w:pPr>
              <w:tabs>
                <w:tab w:val="left" w:pos="-720"/>
              </w:tabs>
              <w:suppressAutoHyphens/>
              <w:jc w:val="both"/>
              <w:rPr>
                <w:rFonts w:cs="Tahoma"/>
                <w:spacing w:val="-2"/>
              </w:rPr>
            </w:pPr>
            <w:r w:rsidRPr="009A02BC">
              <w:rPr>
                <w:rFonts w:cs="Tahoma"/>
                <w:spacing w:val="-2"/>
              </w:rPr>
              <w:tab/>
            </w:r>
          </w:p>
          <w:p w14:paraId="58B73C99" w14:textId="77777777" w:rsidR="007B3EF6" w:rsidRPr="00DE464F" w:rsidRDefault="007B3EF6" w:rsidP="007B3EF6">
            <w:pPr>
              <w:tabs>
                <w:tab w:val="left" w:pos="-720"/>
              </w:tabs>
              <w:suppressAutoHyphens/>
              <w:ind w:left="301"/>
              <w:jc w:val="both"/>
              <w:rPr>
                <w:u w:val="single"/>
              </w:rPr>
            </w:pPr>
            <w:r w:rsidRPr="00DE464F">
              <w:rPr>
                <w:u w:val="single"/>
              </w:rPr>
              <w:t>UK Equities and Managed Equity Funds</w:t>
            </w:r>
          </w:p>
          <w:p w14:paraId="089CA33C" w14:textId="77777777" w:rsidR="007B3EF6" w:rsidRPr="00DE464F" w:rsidRDefault="007B3EF6" w:rsidP="007B3EF6">
            <w:pPr>
              <w:tabs>
                <w:tab w:val="left" w:pos="-720"/>
              </w:tabs>
              <w:suppressAutoHyphens/>
              <w:ind w:left="301"/>
            </w:pPr>
            <w:r w:rsidRPr="00DE464F">
              <w:t>On the first £10</w:t>
            </w:r>
            <w:r>
              <w:t>K</w:t>
            </w:r>
            <w:r w:rsidRPr="00DE464F">
              <w:t>- 0.9%</w:t>
            </w:r>
          </w:p>
          <w:p w14:paraId="7C2EEC9D" w14:textId="77777777" w:rsidR="007B3EF6" w:rsidRPr="00DE464F" w:rsidRDefault="007B3EF6" w:rsidP="007B3EF6">
            <w:pPr>
              <w:tabs>
                <w:tab w:val="left" w:pos="-720"/>
              </w:tabs>
              <w:suppressAutoHyphens/>
              <w:ind w:left="301"/>
            </w:pPr>
            <w:r w:rsidRPr="00DE464F">
              <w:t>On the next £20K – 0.4%</w:t>
            </w:r>
          </w:p>
          <w:p w14:paraId="2F384F9A" w14:textId="77777777" w:rsidR="007B3EF6" w:rsidRDefault="007B3EF6" w:rsidP="007B3EF6">
            <w:pPr>
              <w:tabs>
                <w:tab w:val="left" w:pos="-720"/>
              </w:tabs>
              <w:suppressAutoHyphens/>
              <w:ind w:left="301"/>
              <w:rPr>
                <w:rFonts w:cs="Tahoma"/>
                <w:spacing w:val="-2"/>
              </w:rPr>
            </w:pPr>
            <w:r w:rsidRPr="00DE464F">
              <w:t>Thereafter - 0.3%</w:t>
            </w:r>
            <w:r w:rsidRPr="00DE464F">
              <w:tab/>
            </w:r>
            <w:r w:rsidRPr="009A02BC">
              <w:rPr>
                <w:rFonts w:cs="Tahoma"/>
                <w:spacing w:val="-2"/>
              </w:rPr>
              <w:tab/>
            </w:r>
          </w:p>
          <w:p w14:paraId="1E52977F" w14:textId="77777777" w:rsidR="007B3EF6" w:rsidRPr="009A02BC" w:rsidRDefault="007B3EF6" w:rsidP="007B3EF6">
            <w:pPr>
              <w:tabs>
                <w:tab w:val="left" w:pos="-720"/>
              </w:tabs>
              <w:suppressAutoHyphens/>
              <w:rPr>
                <w:rFonts w:cs="Tahoma"/>
                <w:spacing w:val="-2"/>
              </w:rPr>
            </w:pPr>
          </w:p>
          <w:p w14:paraId="618AA0BA" w14:textId="77777777" w:rsidR="007B3EF6" w:rsidRPr="00DE464F" w:rsidRDefault="007B3EF6" w:rsidP="007B3EF6">
            <w:pPr>
              <w:tabs>
                <w:tab w:val="left" w:pos="-720"/>
              </w:tabs>
              <w:suppressAutoHyphens/>
              <w:ind w:left="301"/>
              <w:jc w:val="both"/>
              <w:rPr>
                <w:u w:val="single"/>
              </w:rPr>
            </w:pPr>
            <w:r w:rsidRPr="00DE464F">
              <w:rPr>
                <w:u w:val="single"/>
              </w:rPr>
              <w:t>British Government Securities</w:t>
            </w:r>
          </w:p>
          <w:p w14:paraId="1E44E540" w14:textId="77777777" w:rsidR="007B3EF6" w:rsidRPr="00DE464F" w:rsidRDefault="007B3EF6" w:rsidP="007B3EF6">
            <w:pPr>
              <w:tabs>
                <w:tab w:val="left" w:pos="-720"/>
              </w:tabs>
              <w:suppressAutoHyphens/>
              <w:ind w:left="301"/>
              <w:jc w:val="both"/>
            </w:pPr>
            <w:r w:rsidRPr="00DE464F">
              <w:t>On the first £10</w:t>
            </w:r>
            <w:r>
              <w:t xml:space="preserve">K - </w:t>
            </w:r>
            <w:r w:rsidRPr="00DE464F">
              <w:t>0.75%</w:t>
            </w:r>
            <w:r w:rsidRPr="00DE464F">
              <w:tab/>
            </w:r>
          </w:p>
          <w:p w14:paraId="541B8E62" w14:textId="77777777" w:rsidR="007B3EF6" w:rsidRPr="00DE464F" w:rsidRDefault="007B3EF6" w:rsidP="007B3EF6">
            <w:pPr>
              <w:tabs>
                <w:tab w:val="left" w:pos="-720"/>
              </w:tabs>
              <w:suppressAutoHyphens/>
              <w:ind w:left="301"/>
              <w:jc w:val="both"/>
            </w:pPr>
            <w:r w:rsidRPr="00DE464F">
              <w:t>On the next £</w:t>
            </w:r>
            <w:r>
              <w:t xml:space="preserve">20K - </w:t>
            </w:r>
            <w:r w:rsidRPr="00DE464F">
              <w:t>0.4%</w:t>
            </w:r>
          </w:p>
          <w:p w14:paraId="4032200A" w14:textId="77777777" w:rsidR="007B3EF6" w:rsidRPr="00DE464F" w:rsidRDefault="007B3EF6" w:rsidP="007B3EF6">
            <w:pPr>
              <w:tabs>
                <w:tab w:val="left" w:pos="-720"/>
              </w:tabs>
              <w:suppressAutoHyphens/>
              <w:ind w:left="301"/>
              <w:jc w:val="both"/>
            </w:pPr>
            <w:r w:rsidRPr="00DE464F">
              <w:t>Thereafter</w:t>
            </w:r>
            <w:r>
              <w:t xml:space="preserve"> - </w:t>
            </w:r>
            <w:r w:rsidRPr="00DE464F">
              <w:t>0.3%</w:t>
            </w:r>
            <w:r w:rsidRPr="00DE464F">
              <w:tab/>
            </w:r>
            <w:r w:rsidRPr="00DE464F">
              <w:tab/>
            </w:r>
          </w:p>
          <w:p w14:paraId="5E0402B0" w14:textId="77777777" w:rsidR="007B3EF6" w:rsidRPr="009A02BC" w:rsidRDefault="007B3EF6" w:rsidP="007B3EF6">
            <w:pPr>
              <w:tabs>
                <w:tab w:val="left" w:pos="-720"/>
              </w:tabs>
              <w:suppressAutoHyphens/>
              <w:jc w:val="both"/>
              <w:rPr>
                <w:rFonts w:cs="Tahoma"/>
                <w:spacing w:val="-2"/>
              </w:rPr>
            </w:pPr>
          </w:p>
          <w:p w14:paraId="5AE7F8B8" w14:textId="77777777" w:rsidR="007B3EF6" w:rsidRPr="00DE464F" w:rsidRDefault="007B3EF6" w:rsidP="007B3EF6">
            <w:pPr>
              <w:tabs>
                <w:tab w:val="left" w:pos="-720"/>
              </w:tabs>
              <w:suppressAutoHyphens/>
              <w:ind w:left="301"/>
              <w:jc w:val="both"/>
              <w:rPr>
                <w:u w:val="single"/>
              </w:rPr>
            </w:pPr>
            <w:r w:rsidRPr="00DE464F">
              <w:rPr>
                <w:u w:val="single"/>
              </w:rPr>
              <w:t>Other Fixed Interest Holdings</w:t>
            </w:r>
          </w:p>
          <w:p w14:paraId="103DA26F" w14:textId="77777777" w:rsidR="007B3EF6" w:rsidRPr="00DE464F" w:rsidRDefault="007B3EF6" w:rsidP="007B3EF6">
            <w:pPr>
              <w:tabs>
                <w:tab w:val="left" w:pos="-720"/>
              </w:tabs>
              <w:suppressAutoHyphens/>
              <w:ind w:left="301"/>
              <w:jc w:val="both"/>
            </w:pPr>
            <w:r w:rsidRPr="00DE464F">
              <w:t>On the first £10</w:t>
            </w:r>
            <w:r>
              <w:t xml:space="preserve">K - </w:t>
            </w:r>
            <w:r w:rsidRPr="00DE464F">
              <w:t>0.8%</w:t>
            </w:r>
          </w:p>
          <w:p w14:paraId="278D2BE8" w14:textId="77777777" w:rsidR="007B3EF6" w:rsidRPr="00DE464F" w:rsidRDefault="007B3EF6" w:rsidP="007B3EF6">
            <w:pPr>
              <w:tabs>
                <w:tab w:val="left" w:pos="-720"/>
              </w:tabs>
              <w:suppressAutoHyphens/>
              <w:ind w:left="301"/>
              <w:jc w:val="both"/>
            </w:pPr>
            <w:r w:rsidRPr="00DE464F">
              <w:t>On the next £20</w:t>
            </w:r>
            <w:r>
              <w:t xml:space="preserve">K - </w:t>
            </w:r>
            <w:r w:rsidRPr="00DE464F">
              <w:t>0.4%</w:t>
            </w:r>
          </w:p>
          <w:p w14:paraId="6DDA23DE" w14:textId="77777777" w:rsidR="007B3EF6" w:rsidRPr="00DE464F" w:rsidRDefault="007B3EF6" w:rsidP="007B3EF6">
            <w:pPr>
              <w:tabs>
                <w:tab w:val="left" w:pos="-720"/>
              </w:tabs>
              <w:suppressAutoHyphens/>
              <w:ind w:left="301"/>
              <w:jc w:val="both"/>
            </w:pPr>
            <w:r w:rsidRPr="00DE464F">
              <w:t>Thereafter</w:t>
            </w:r>
            <w:r>
              <w:t xml:space="preserve"> - </w:t>
            </w:r>
            <w:r w:rsidRPr="00DE464F">
              <w:t>0.3%</w:t>
            </w:r>
          </w:p>
          <w:p w14:paraId="649EEB84" w14:textId="77777777" w:rsidR="007B3EF6" w:rsidRDefault="007B3EF6" w:rsidP="007B3EF6">
            <w:pPr>
              <w:pStyle w:val="ListParagraph"/>
              <w:ind w:left="0"/>
              <w:rPr>
                <w:i/>
                <w:iCs/>
              </w:rPr>
            </w:pPr>
          </w:p>
          <w:p w14:paraId="79C87B66" w14:textId="7CBA087A" w:rsidR="007B3EF6" w:rsidRDefault="007B3EF6" w:rsidP="007B3EF6">
            <w:pPr>
              <w:pStyle w:val="ListParagraph"/>
              <w:numPr>
                <w:ilvl w:val="0"/>
                <w:numId w:val="34"/>
              </w:numPr>
              <w:ind w:left="301"/>
            </w:pPr>
            <w:r>
              <w:rPr>
                <w:b/>
                <w:bCs/>
                <w:i/>
                <w:iCs/>
              </w:rPr>
              <w:t>Typical A</w:t>
            </w:r>
            <w:r w:rsidRPr="0056159F">
              <w:rPr>
                <w:b/>
                <w:bCs/>
                <w:i/>
                <w:iCs/>
              </w:rPr>
              <w:t>verage total charge £</w:t>
            </w:r>
            <w:r w:rsidR="00DF5E3B">
              <w:rPr>
                <w:b/>
                <w:bCs/>
                <w:i/>
                <w:iCs/>
              </w:rPr>
              <w:t>20,000</w:t>
            </w:r>
          </w:p>
        </w:tc>
        <w:tc>
          <w:tcPr>
            <w:tcW w:w="3408" w:type="dxa"/>
          </w:tcPr>
          <w:p w14:paraId="262B0A74" w14:textId="305A3C07" w:rsidR="00C41DA0" w:rsidRDefault="00C41DA0" w:rsidP="00C41DA0">
            <w:r>
              <w:lastRenderedPageBreak/>
              <w:t>£2</w:t>
            </w:r>
            <w:r w:rsidR="00DF5E3B">
              <w:t>825</w:t>
            </w:r>
            <w:r>
              <w:t xml:space="preserve"> </w:t>
            </w:r>
          </w:p>
          <w:p w14:paraId="1B32E228" w14:textId="5C3CBA76" w:rsidR="007B3EF6" w:rsidRDefault="00C41DA0" w:rsidP="00C41DA0">
            <w:r>
              <w:t>(average cost per annum/per client)</w:t>
            </w:r>
          </w:p>
        </w:tc>
      </w:tr>
      <w:tr w:rsidR="000D2504" w14:paraId="061721B5" w14:textId="77777777" w:rsidTr="004F0DE5">
        <w:tc>
          <w:tcPr>
            <w:tcW w:w="3407" w:type="dxa"/>
          </w:tcPr>
          <w:p w14:paraId="51954D51" w14:textId="1695B6DE" w:rsidR="000D2504" w:rsidRDefault="000D2504" w:rsidP="000D2504">
            <w:r>
              <w:t>D</w:t>
            </w:r>
            <w:r w:rsidRPr="00B005E9">
              <w:t>iscretionary portfolio management</w:t>
            </w:r>
          </w:p>
        </w:tc>
        <w:tc>
          <w:tcPr>
            <w:tcW w:w="3408" w:type="dxa"/>
            <w:gridSpan w:val="2"/>
          </w:tcPr>
          <w:p w14:paraId="08951275" w14:textId="77777777" w:rsidR="000D2504" w:rsidRDefault="000D2504" w:rsidP="000D2504">
            <w:r>
              <w:t>Any retail client</w:t>
            </w:r>
          </w:p>
          <w:p w14:paraId="67C3FA16" w14:textId="3393A043" w:rsidR="000D2504" w:rsidRDefault="000D2504" w:rsidP="000D2504">
            <w:r>
              <w:t>Funds = £</w:t>
            </w:r>
            <w:r w:rsidR="00B121F8">
              <w:t>4</w:t>
            </w:r>
            <w:r>
              <w:t>M</w:t>
            </w:r>
            <w:r w:rsidR="00A87E4F">
              <w:t xml:space="preserve"> </w:t>
            </w:r>
          </w:p>
        </w:tc>
        <w:tc>
          <w:tcPr>
            <w:tcW w:w="3407" w:type="dxa"/>
          </w:tcPr>
          <w:p w14:paraId="2A9E475C" w14:textId="77777777" w:rsidR="000D2504" w:rsidRDefault="000D2504" w:rsidP="000D2504">
            <w:pPr>
              <w:pStyle w:val="ListParagraph"/>
              <w:numPr>
                <w:ilvl w:val="0"/>
                <w:numId w:val="34"/>
              </w:numPr>
              <w:ind w:left="301"/>
            </w:pPr>
            <w:r>
              <w:t>0.225% quarterly / 0.90% annually (IM) on £500K</w:t>
            </w:r>
          </w:p>
          <w:p w14:paraId="1524504B" w14:textId="77777777" w:rsidR="000D2504" w:rsidRDefault="000D2504" w:rsidP="000D2504">
            <w:pPr>
              <w:pStyle w:val="ListParagraph"/>
              <w:numPr>
                <w:ilvl w:val="0"/>
                <w:numId w:val="34"/>
              </w:numPr>
              <w:ind w:left="301"/>
            </w:pPr>
            <w:r>
              <w:lastRenderedPageBreak/>
              <w:t>0.1875% quarterly / 0.75% annually on £500K</w:t>
            </w:r>
          </w:p>
          <w:p w14:paraId="2D2905BE" w14:textId="2126F344" w:rsidR="000D2504" w:rsidRDefault="000D2504" w:rsidP="000D2504">
            <w:pPr>
              <w:pStyle w:val="ListParagraph"/>
              <w:numPr>
                <w:ilvl w:val="0"/>
                <w:numId w:val="34"/>
              </w:numPr>
              <w:ind w:left="301"/>
            </w:pPr>
            <w:r>
              <w:t>0.125% quarterly / 0.</w:t>
            </w:r>
            <w:r w:rsidR="00B121F8">
              <w:t>5</w:t>
            </w:r>
            <w:r>
              <w:t>0% annually on £1M</w:t>
            </w:r>
          </w:p>
          <w:p w14:paraId="09836D8B" w14:textId="0EB12661" w:rsidR="000D2504" w:rsidRDefault="000D2504" w:rsidP="000D2504">
            <w:pPr>
              <w:pStyle w:val="ListParagraph"/>
              <w:numPr>
                <w:ilvl w:val="0"/>
                <w:numId w:val="34"/>
              </w:numPr>
              <w:ind w:left="301"/>
            </w:pPr>
            <w:r>
              <w:t>0.075% quarterly / 0.30% annually on £3M</w:t>
            </w:r>
          </w:p>
          <w:p w14:paraId="09456B1E" w14:textId="77777777" w:rsidR="00BE167C" w:rsidRDefault="00BE167C" w:rsidP="00BE167C">
            <w:pPr>
              <w:pStyle w:val="ListParagraph"/>
              <w:ind w:left="301"/>
            </w:pPr>
          </w:p>
          <w:p w14:paraId="78C77775" w14:textId="0663C381" w:rsidR="00BE167C" w:rsidRDefault="00BE167C" w:rsidP="00BE167C">
            <w:pPr>
              <w:pStyle w:val="ListParagraph"/>
              <w:numPr>
                <w:ilvl w:val="0"/>
                <w:numId w:val="34"/>
              </w:numPr>
              <w:ind w:left="301"/>
            </w:pPr>
            <w:r w:rsidRPr="00BE167C">
              <w:t>ISA account (if applicable) £100 per annum</w:t>
            </w:r>
          </w:p>
          <w:p w14:paraId="19CE2237" w14:textId="77777777" w:rsidR="000D2504" w:rsidRDefault="000D2504" w:rsidP="000D2504"/>
          <w:p w14:paraId="140369CE" w14:textId="11B85554" w:rsidR="000D2504" w:rsidRPr="0056159F" w:rsidRDefault="000D2504" w:rsidP="000D2504">
            <w:pPr>
              <w:pStyle w:val="ListParagraph"/>
              <w:numPr>
                <w:ilvl w:val="0"/>
                <w:numId w:val="34"/>
              </w:numPr>
              <w:ind w:left="301"/>
            </w:pPr>
            <w:r w:rsidRPr="00B121F8">
              <w:t>0.5% - 1.5%</w:t>
            </w:r>
            <w:r>
              <w:t xml:space="preserve"> (AMC -</w:t>
            </w:r>
            <w:r w:rsidR="00B121F8">
              <w:t xml:space="preserve"> Fund provider</w:t>
            </w:r>
            <w:r>
              <w:t>)</w:t>
            </w:r>
          </w:p>
          <w:p w14:paraId="05D0B276" w14:textId="77777777" w:rsidR="000D2504" w:rsidRDefault="000D2504" w:rsidP="000D2504">
            <w:pPr>
              <w:pStyle w:val="ListParagraph"/>
              <w:ind w:left="0"/>
              <w:rPr>
                <w:i/>
                <w:iCs/>
              </w:rPr>
            </w:pPr>
          </w:p>
          <w:p w14:paraId="325AFF02" w14:textId="77777777" w:rsidR="000D2504" w:rsidRPr="0056159F" w:rsidRDefault="000D2504" w:rsidP="000D2504">
            <w:pPr>
              <w:pStyle w:val="ListParagraph"/>
              <w:numPr>
                <w:ilvl w:val="0"/>
                <w:numId w:val="34"/>
              </w:numPr>
              <w:ind w:left="301"/>
            </w:pPr>
            <w:r>
              <w:t>Standard Transaction Commission and Dealing Costs</w:t>
            </w:r>
          </w:p>
          <w:p w14:paraId="67F5B4A9" w14:textId="77777777" w:rsidR="000D2504" w:rsidRPr="00797D11" w:rsidRDefault="000D2504" w:rsidP="000D2504">
            <w:pPr>
              <w:pStyle w:val="ListParagraph"/>
              <w:ind w:left="301"/>
              <w:rPr>
                <w:i/>
                <w:iCs/>
              </w:rPr>
            </w:pPr>
            <w:r>
              <w:rPr>
                <w:i/>
                <w:iCs/>
              </w:rPr>
              <w:t>Subject to a minimum commission charge of £20 per deal</w:t>
            </w:r>
          </w:p>
          <w:p w14:paraId="5820956E" w14:textId="77777777" w:rsidR="000D2504" w:rsidRPr="009A02BC" w:rsidRDefault="000D2504" w:rsidP="000D2504">
            <w:pPr>
              <w:tabs>
                <w:tab w:val="left" w:pos="-720"/>
              </w:tabs>
              <w:suppressAutoHyphens/>
              <w:jc w:val="both"/>
              <w:rPr>
                <w:rFonts w:cs="Tahoma"/>
                <w:spacing w:val="-2"/>
              </w:rPr>
            </w:pPr>
            <w:r w:rsidRPr="009A02BC">
              <w:rPr>
                <w:rFonts w:cs="Tahoma"/>
                <w:spacing w:val="-2"/>
              </w:rPr>
              <w:tab/>
            </w:r>
          </w:p>
          <w:p w14:paraId="75117539" w14:textId="77777777" w:rsidR="000D2504" w:rsidRPr="00DE464F" w:rsidRDefault="000D2504" w:rsidP="000D2504">
            <w:pPr>
              <w:tabs>
                <w:tab w:val="left" w:pos="-720"/>
              </w:tabs>
              <w:suppressAutoHyphens/>
              <w:ind w:left="301"/>
              <w:jc w:val="both"/>
              <w:rPr>
                <w:u w:val="single"/>
              </w:rPr>
            </w:pPr>
            <w:r w:rsidRPr="00DE464F">
              <w:rPr>
                <w:u w:val="single"/>
              </w:rPr>
              <w:t>UK Equities and Managed Equity Funds</w:t>
            </w:r>
          </w:p>
          <w:p w14:paraId="39CB0ADC" w14:textId="77777777" w:rsidR="000D2504" w:rsidRPr="00DE464F" w:rsidRDefault="000D2504" w:rsidP="000D2504">
            <w:pPr>
              <w:tabs>
                <w:tab w:val="left" w:pos="-720"/>
              </w:tabs>
              <w:suppressAutoHyphens/>
              <w:ind w:left="301"/>
            </w:pPr>
            <w:r w:rsidRPr="00DE464F">
              <w:t>On the first £10</w:t>
            </w:r>
            <w:r>
              <w:t>K</w:t>
            </w:r>
            <w:r w:rsidRPr="00DE464F">
              <w:t>- 0.9%</w:t>
            </w:r>
          </w:p>
          <w:p w14:paraId="3D6C7D34" w14:textId="77777777" w:rsidR="000D2504" w:rsidRPr="00DE464F" w:rsidRDefault="000D2504" w:rsidP="000D2504">
            <w:pPr>
              <w:tabs>
                <w:tab w:val="left" w:pos="-720"/>
              </w:tabs>
              <w:suppressAutoHyphens/>
              <w:ind w:left="301"/>
            </w:pPr>
            <w:r w:rsidRPr="00DE464F">
              <w:t>On the next £20K – 0.4%</w:t>
            </w:r>
          </w:p>
          <w:p w14:paraId="060C0138" w14:textId="77777777" w:rsidR="000D2504" w:rsidRDefault="000D2504" w:rsidP="000D2504">
            <w:pPr>
              <w:tabs>
                <w:tab w:val="left" w:pos="-720"/>
              </w:tabs>
              <w:suppressAutoHyphens/>
              <w:ind w:left="301"/>
              <w:rPr>
                <w:rFonts w:cs="Tahoma"/>
                <w:spacing w:val="-2"/>
              </w:rPr>
            </w:pPr>
            <w:r w:rsidRPr="00DE464F">
              <w:t>Thereafter - 0.3%</w:t>
            </w:r>
            <w:r w:rsidRPr="00DE464F">
              <w:tab/>
            </w:r>
            <w:r w:rsidRPr="009A02BC">
              <w:rPr>
                <w:rFonts w:cs="Tahoma"/>
                <w:spacing w:val="-2"/>
              </w:rPr>
              <w:tab/>
            </w:r>
          </w:p>
          <w:p w14:paraId="15978635" w14:textId="77777777" w:rsidR="000D2504" w:rsidRPr="009A02BC" w:rsidRDefault="000D2504" w:rsidP="000D2504">
            <w:pPr>
              <w:tabs>
                <w:tab w:val="left" w:pos="-720"/>
              </w:tabs>
              <w:suppressAutoHyphens/>
              <w:rPr>
                <w:rFonts w:cs="Tahoma"/>
                <w:spacing w:val="-2"/>
              </w:rPr>
            </w:pPr>
          </w:p>
          <w:p w14:paraId="71044FF4" w14:textId="77777777" w:rsidR="000D2504" w:rsidRPr="00DE464F" w:rsidRDefault="000D2504" w:rsidP="000D2504">
            <w:pPr>
              <w:tabs>
                <w:tab w:val="left" w:pos="-720"/>
              </w:tabs>
              <w:suppressAutoHyphens/>
              <w:ind w:left="301"/>
              <w:jc w:val="both"/>
              <w:rPr>
                <w:u w:val="single"/>
              </w:rPr>
            </w:pPr>
            <w:r w:rsidRPr="00DE464F">
              <w:rPr>
                <w:u w:val="single"/>
              </w:rPr>
              <w:t>British Government Securities</w:t>
            </w:r>
          </w:p>
          <w:p w14:paraId="4D7C4664" w14:textId="77777777" w:rsidR="000D2504" w:rsidRPr="00DE464F" w:rsidRDefault="000D2504" w:rsidP="000D2504">
            <w:pPr>
              <w:tabs>
                <w:tab w:val="left" w:pos="-720"/>
              </w:tabs>
              <w:suppressAutoHyphens/>
              <w:ind w:left="301"/>
              <w:jc w:val="both"/>
            </w:pPr>
            <w:r w:rsidRPr="00DE464F">
              <w:t>On the first £10</w:t>
            </w:r>
            <w:r>
              <w:t xml:space="preserve">K - </w:t>
            </w:r>
            <w:r w:rsidRPr="00DE464F">
              <w:t>0.75%</w:t>
            </w:r>
            <w:r w:rsidRPr="00DE464F">
              <w:tab/>
            </w:r>
          </w:p>
          <w:p w14:paraId="33A542D2" w14:textId="77777777" w:rsidR="000D2504" w:rsidRPr="00DE464F" w:rsidRDefault="000D2504" w:rsidP="000D2504">
            <w:pPr>
              <w:tabs>
                <w:tab w:val="left" w:pos="-720"/>
              </w:tabs>
              <w:suppressAutoHyphens/>
              <w:ind w:left="301"/>
              <w:jc w:val="both"/>
            </w:pPr>
            <w:r w:rsidRPr="00DE464F">
              <w:t>On the next £</w:t>
            </w:r>
            <w:r>
              <w:t xml:space="preserve">20K - </w:t>
            </w:r>
            <w:r w:rsidRPr="00DE464F">
              <w:t>0.4%</w:t>
            </w:r>
          </w:p>
          <w:p w14:paraId="6601399E" w14:textId="77777777" w:rsidR="000D2504" w:rsidRPr="00DE464F" w:rsidRDefault="000D2504" w:rsidP="000D2504">
            <w:pPr>
              <w:tabs>
                <w:tab w:val="left" w:pos="-720"/>
              </w:tabs>
              <w:suppressAutoHyphens/>
              <w:ind w:left="301"/>
              <w:jc w:val="both"/>
            </w:pPr>
            <w:r w:rsidRPr="00DE464F">
              <w:t>Thereafter</w:t>
            </w:r>
            <w:r>
              <w:t xml:space="preserve"> - </w:t>
            </w:r>
            <w:r w:rsidRPr="00DE464F">
              <w:t>0.3%</w:t>
            </w:r>
            <w:r w:rsidRPr="00DE464F">
              <w:tab/>
            </w:r>
            <w:r w:rsidRPr="00DE464F">
              <w:tab/>
            </w:r>
          </w:p>
          <w:p w14:paraId="580C5F9A" w14:textId="77777777" w:rsidR="000D2504" w:rsidRPr="009A02BC" w:rsidRDefault="000D2504" w:rsidP="000D2504">
            <w:pPr>
              <w:tabs>
                <w:tab w:val="left" w:pos="-720"/>
              </w:tabs>
              <w:suppressAutoHyphens/>
              <w:jc w:val="both"/>
              <w:rPr>
                <w:rFonts w:cs="Tahoma"/>
                <w:spacing w:val="-2"/>
              </w:rPr>
            </w:pPr>
          </w:p>
          <w:p w14:paraId="6DBC84CA" w14:textId="77777777" w:rsidR="000D2504" w:rsidRPr="00DE464F" w:rsidRDefault="000D2504" w:rsidP="000D2504">
            <w:pPr>
              <w:tabs>
                <w:tab w:val="left" w:pos="-720"/>
              </w:tabs>
              <w:suppressAutoHyphens/>
              <w:ind w:left="301"/>
              <w:jc w:val="both"/>
              <w:rPr>
                <w:u w:val="single"/>
              </w:rPr>
            </w:pPr>
            <w:r w:rsidRPr="00DE464F">
              <w:rPr>
                <w:u w:val="single"/>
              </w:rPr>
              <w:t>Other Fixed Interest Holdings</w:t>
            </w:r>
          </w:p>
          <w:p w14:paraId="743F1E29" w14:textId="77777777" w:rsidR="000D2504" w:rsidRPr="00DE464F" w:rsidRDefault="000D2504" w:rsidP="000D2504">
            <w:pPr>
              <w:tabs>
                <w:tab w:val="left" w:pos="-720"/>
              </w:tabs>
              <w:suppressAutoHyphens/>
              <w:ind w:left="301"/>
              <w:jc w:val="both"/>
            </w:pPr>
            <w:r w:rsidRPr="00DE464F">
              <w:t>On the first £10</w:t>
            </w:r>
            <w:r>
              <w:t xml:space="preserve">K - </w:t>
            </w:r>
            <w:r w:rsidRPr="00DE464F">
              <w:t>0.8%</w:t>
            </w:r>
          </w:p>
          <w:p w14:paraId="3474F093" w14:textId="77777777" w:rsidR="000D2504" w:rsidRPr="00DE464F" w:rsidRDefault="000D2504" w:rsidP="000D2504">
            <w:pPr>
              <w:tabs>
                <w:tab w:val="left" w:pos="-720"/>
              </w:tabs>
              <w:suppressAutoHyphens/>
              <w:ind w:left="301"/>
              <w:jc w:val="both"/>
            </w:pPr>
            <w:r w:rsidRPr="00DE464F">
              <w:t>On the next £20</w:t>
            </w:r>
            <w:r>
              <w:t xml:space="preserve">K - </w:t>
            </w:r>
            <w:r w:rsidRPr="00DE464F">
              <w:t>0.4%</w:t>
            </w:r>
          </w:p>
          <w:p w14:paraId="053DFD9D" w14:textId="77777777" w:rsidR="000D2504" w:rsidRPr="00DE464F" w:rsidRDefault="000D2504" w:rsidP="000D2504">
            <w:pPr>
              <w:tabs>
                <w:tab w:val="left" w:pos="-720"/>
              </w:tabs>
              <w:suppressAutoHyphens/>
              <w:ind w:left="301"/>
              <w:jc w:val="both"/>
            </w:pPr>
            <w:r w:rsidRPr="00DE464F">
              <w:t>Thereafter</w:t>
            </w:r>
            <w:r>
              <w:t xml:space="preserve"> - </w:t>
            </w:r>
            <w:r w:rsidRPr="00DE464F">
              <w:t>0.3%</w:t>
            </w:r>
          </w:p>
          <w:p w14:paraId="36372B14" w14:textId="77777777" w:rsidR="000D2504" w:rsidRDefault="000D2504" w:rsidP="000D2504">
            <w:pPr>
              <w:pStyle w:val="ListParagraph"/>
              <w:ind w:left="0"/>
              <w:rPr>
                <w:i/>
                <w:iCs/>
              </w:rPr>
            </w:pPr>
          </w:p>
          <w:p w14:paraId="645E10C8" w14:textId="08B137DA" w:rsidR="000D2504" w:rsidRDefault="000D2504" w:rsidP="000D2504">
            <w:pPr>
              <w:pStyle w:val="ListParagraph"/>
              <w:numPr>
                <w:ilvl w:val="0"/>
                <w:numId w:val="34"/>
              </w:numPr>
              <w:ind w:left="301"/>
            </w:pPr>
            <w:r>
              <w:rPr>
                <w:b/>
                <w:bCs/>
                <w:i/>
                <w:iCs/>
              </w:rPr>
              <w:t>Typical A</w:t>
            </w:r>
            <w:r w:rsidRPr="0056159F">
              <w:rPr>
                <w:b/>
                <w:bCs/>
                <w:i/>
                <w:iCs/>
              </w:rPr>
              <w:t>verage total charge £</w:t>
            </w:r>
            <w:r w:rsidR="00B121F8">
              <w:rPr>
                <w:b/>
                <w:bCs/>
                <w:i/>
                <w:iCs/>
              </w:rPr>
              <w:t>60,000</w:t>
            </w:r>
          </w:p>
        </w:tc>
        <w:tc>
          <w:tcPr>
            <w:tcW w:w="3408" w:type="dxa"/>
          </w:tcPr>
          <w:p w14:paraId="6A66C0B6" w14:textId="176C0CAC" w:rsidR="00C41DA0" w:rsidRDefault="00C41DA0" w:rsidP="00C41DA0">
            <w:r>
              <w:lastRenderedPageBreak/>
              <w:t>£2</w:t>
            </w:r>
            <w:r w:rsidR="00B121F8">
              <w:t>825</w:t>
            </w:r>
            <w:r>
              <w:t xml:space="preserve"> </w:t>
            </w:r>
          </w:p>
          <w:p w14:paraId="07B6ACFD" w14:textId="02FBE8BA" w:rsidR="000D2504" w:rsidRDefault="00C41DA0" w:rsidP="00C41DA0">
            <w:r>
              <w:t>(average cost per annum/per client)</w:t>
            </w:r>
          </w:p>
        </w:tc>
      </w:tr>
      <w:tr w:rsidR="00354A7E" w14:paraId="623D6DA7" w14:textId="77777777" w:rsidTr="006A6171">
        <w:tc>
          <w:tcPr>
            <w:tcW w:w="13630" w:type="dxa"/>
            <w:gridSpan w:val="5"/>
          </w:tcPr>
          <w:p w14:paraId="03AB6B3B" w14:textId="0051C368" w:rsidR="00354A7E" w:rsidRDefault="00BE167C" w:rsidP="002E6782">
            <w:r>
              <w:rPr>
                <w:b/>
                <w:bCs/>
              </w:rPr>
              <w:lastRenderedPageBreak/>
              <w:t>Service</w:t>
            </w:r>
            <w:r w:rsidR="00354A7E" w:rsidRPr="00354A7E">
              <w:rPr>
                <w:b/>
                <w:bCs/>
              </w:rPr>
              <w:t xml:space="preserve"> Features and Benefits</w:t>
            </w:r>
          </w:p>
        </w:tc>
      </w:tr>
      <w:tr w:rsidR="00A96DA5" w14:paraId="21E28551" w14:textId="77777777" w:rsidTr="006A6171">
        <w:tc>
          <w:tcPr>
            <w:tcW w:w="13630" w:type="dxa"/>
            <w:gridSpan w:val="5"/>
          </w:tcPr>
          <w:p w14:paraId="32D7F519" w14:textId="23C0FD43" w:rsidR="00A96DA5" w:rsidRPr="002E6782" w:rsidRDefault="00BE167C" w:rsidP="004B5A99">
            <w:r>
              <w:t xml:space="preserve">This services is designed for clients with varying levels of both attitude to risk and capacity for loss, with the objective of </w:t>
            </w:r>
            <w:r w:rsidRPr="00072963">
              <w:t xml:space="preserve">consistent, non-volatile, long term-growth. </w:t>
            </w:r>
            <w:proofErr w:type="spellStart"/>
            <w:r w:rsidRPr="00072963">
              <w:t>Its</w:t>
            </w:r>
            <w:proofErr w:type="spellEnd"/>
            <w:r w:rsidRPr="00072963">
              <w:t xml:space="preserve"> make</w:t>
            </w:r>
            <w:r w:rsidR="00D853B5" w:rsidRPr="00072963">
              <w:t xml:space="preserve"> up is</w:t>
            </w:r>
            <w:r w:rsidRPr="00072963">
              <w:t xml:space="preserve"> managed by our Investment Committee. </w:t>
            </w:r>
            <w:r w:rsidR="00D853B5" w:rsidRPr="00072963">
              <w:t>A</w:t>
            </w:r>
            <w:r w:rsidRPr="00072963">
              <w:t xml:space="preserve">sset allocation is </w:t>
            </w:r>
            <w:r w:rsidR="00D853B5" w:rsidRPr="00072963">
              <w:t xml:space="preserve">used to </w:t>
            </w:r>
            <w:r w:rsidRPr="00072963">
              <w:t>align to client</w:t>
            </w:r>
            <w:r w:rsidR="00D853B5" w:rsidRPr="00072963">
              <w:t xml:space="preserve"> </w:t>
            </w:r>
            <w:r w:rsidRPr="00072963">
              <w:t>risk profiles</w:t>
            </w:r>
            <w:r w:rsidR="00D853B5" w:rsidRPr="00072963">
              <w:t xml:space="preserve">.  </w:t>
            </w:r>
            <w:r w:rsidR="00DD3B7A" w:rsidRPr="00072963">
              <w:t>Approximately</w:t>
            </w:r>
            <w:r w:rsidRPr="00072963">
              <w:t xml:space="preserve"> 20 globally diversified funds, with no concentration on any particular fund, meaning that fund switches should be minimal. It is operated on</w:t>
            </w:r>
            <w:r>
              <w:t xml:space="preserve"> a </w:t>
            </w:r>
            <w:r w:rsidR="00DD3B7A">
              <w:t>discretionary</w:t>
            </w:r>
            <w:r>
              <w:t xml:space="preserve"> basis</w:t>
            </w:r>
            <w:r w:rsidR="00DD3B7A">
              <w:t xml:space="preserve"> with a suitability assessment made at least annually.</w:t>
            </w:r>
          </w:p>
        </w:tc>
      </w:tr>
      <w:tr w:rsidR="002E6782" w14:paraId="341F05A5" w14:textId="77777777" w:rsidTr="006A6171">
        <w:tc>
          <w:tcPr>
            <w:tcW w:w="13630" w:type="dxa"/>
            <w:gridSpan w:val="5"/>
          </w:tcPr>
          <w:p w14:paraId="282BD1DE" w14:textId="6BCD3146" w:rsidR="002E6782" w:rsidRDefault="004B5A99" w:rsidP="002E6782">
            <w:r>
              <w:rPr>
                <w:b/>
                <w:bCs/>
              </w:rPr>
              <w:t>Fees and Charges</w:t>
            </w:r>
          </w:p>
        </w:tc>
      </w:tr>
      <w:tr w:rsidR="002E6782" w14:paraId="2897509E" w14:textId="77777777" w:rsidTr="006A6171">
        <w:tc>
          <w:tcPr>
            <w:tcW w:w="13630" w:type="dxa"/>
            <w:gridSpan w:val="5"/>
          </w:tcPr>
          <w:p w14:paraId="478085BC" w14:textId="617F1C46" w:rsidR="002E6782" w:rsidRDefault="00DD3B7A" w:rsidP="00875086">
            <w:r>
              <w:t xml:space="preserve">When benchmarked across the industry, the total fees and charges is comparable. Our investment management structure is in line with firms of a similar size and business model. For the </w:t>
            </w:r>
            <w:r w:rsidR="004D3A85">
              <w:t>management charge levied</w:t>
            </w:r>
            <w:r>
              <w:t xml:space="preserve">, the client receives a formal </w:t>
            </w:r>
            <w:r w:rsidR="004D3A85">
              <w:t>assessment of suitability</w:t>
            </w:r>
            <w:r>
              <w:t xml:space="preserve">, </w:t>
            </w:r>
            <w:r w:rsidRPr="00072963">
              <w:t>generally delivered face-2-face, when KYC, risk profiles, objectives and cashflow are fully reviewed, and following which a full Review Report is issued.</w:t>
            </w:r>
            <w:r>
              <w:t xml:space="preserve"> During the year, clients </w:t>
            </w:r>
            <w:r w:rsidR="00A87E4F">
              <w:t xml:space="preserve">also receive </w:t>
            </w:r>
            <w:r w:rsidR="00072963">
              <w:t>two half yearly reports, two quarterly reports and an end of year tax pack.</w:t>
            </w:r>
            <w:r>
              <w:t xml:space="preserve"> The </w:t>
            </w:r>
            <w:r w:rsidR="00A87E4F">
              <w:t>investment management</w:t>
            </w:r>
            <w:r>
              <w:t xml:space="preserve"> team are always available to take client questions or respond to concerns.</w:t>
            </w:r>
          </w:p>
        </w:tc>
      </w:tr>
      <w:tr w:rsidR="00E25726" w14:paraId="3CAECF4E" w14:textId="77777777" w:rsidTr="006A6171">
        <w:tc>
          <w:tcPr>
            <w:tcW w:w="13630" w:type="dxa"/>
            <w:gridSpan w:val="5"/>
          </w:tcPr>
          <w:p w14:paraId="6026699E" w14:textId="348F2583" w:rsidR="00E25726" w:rsidRDefault="00E25726" w:rsidP="00B208A5">
            <w:r>
              <w:rPr>
                <w:b/>
                <w:bCs/>
              </w:rPr>
              <w:t>Perfo</w:t>
            </w:r>
            <w:r w:rsidR="00B208A5">
              <w:rPr>
                <w:b/>
                <w:bCs/>
              </w:rPr>
              <w:t>r</w:t>
            </w:r>
            <w:r>
              <w:rPr>
                <w:b/>
                <w:bCs/>
              </w:rPr>
              <w:t>mance</w:t>
            </w:r>
            <w:r w:rsidR="00B208A5">
              <w:t xml:space="preserve"> </w:t>
            </w:r>
          </w:p>
        </w:tc>
      </w:tr>
      <w:tr w:rsidR="00E25726" w14:paraId="4FC1C08B" w14:textId="77777777" w:rsidTr="006A6171">
        <w:tc>
          <w:tcPr>
            <w:tcW w:w="13630" w:type="dxa"/>
            <w:gridSpan w:val="5"/>
          </w:tcPr>
          <w:p w14:paraId="71D33C6B" w14:textId="38D7DE1B" w:rsidR="00E25726" w:rsidRDefault="00A87E4F" w:rsidP="00E25726">
            <w:r>
              <w:t xml:space="preserve">Performance over 1, 3 and 5 years has been </w:t>
            </w:r>
            <w:r w:rsidRPr="00072963">
              <w:t>unexceptional but in line with industry benchmarks (see separate data) and in line with the objectives of the portfolio. Portfolio performance (excluding new contributions) exceeds the total fees paid by the client for all FUM amounts. Net growth after fees and charges exceeds inflation over the 5 year period, although there was one year in this period where growth was less than inflation.</w:t>
            </w:r>
          </w:p>
        </w:tc>
      </w:tr>
      <w:tr w:rsidR="00331D01" w14:paraId="37C38D2F" w14:textId="77777777" w:rsidTr="006A6171">
        <w:tc>
          <w:tcPr>
            <w:tcW w:w="13630" w:type="dxa"/>
            <w:gridSpan w:val="5"/>
          </w:tcPr>
          <w:p w14:paraId="3D491551" w14:textId="177D136A" w:rsidR="00331D01" w:rsidRPr="00331D01" w:rsidRDefault="00331D01" w:rsidP="00B208A5">
            <w:pPr>
              <w:rPr>
                <w:b/>
                <w:bCs/>
              </w:rPr>
            </w:pPr>
            <w:r w:rsidRPr="00331D01">
              <w:rPr>
                <w:b/>
                <w:bCs/>
              </w:rPr>
              <w:t>Cost of Delivery</w:t>
            </w:r>
          </w:p>
        </w:tc>
      </w:tr>
      <w:tr w:rsidR="00331D01" w14:paraId="66A7641B" w14:textId="77777777" w:rsidTr="006A6171">
        <w:tc>
          <w:tcPr>
            <w:tcW w:w="13630" w:type="dxa"/>
            <w:gridSpan w:val="5"/>
          </w:tcPr>
          <w:p w14:paraId="6506A3F1" w14:textId="4AAB4C47" w:rsidR="00331D01" w:rsidRDefault="00A87E4F" w:rsidP="00B208A5">
            <w:r w:rsidRPr="00A87E4F">
              <w:rPr>
                <w:b/>
                <w:bCs/>
                <w:i/>
                <w:iCs/>
              </w:rPr>
              <w:t>FUM £</w:t>
            </w:r>
            <w:r w:rsidR="00072963">
              <w:rPr>
                <w:b/>
                <w:bCs/>
                <w:i/>
                <w:iCs/>
              </w:rPr>
              <w:t>250</w:t>
            </w:r>
            <w:r w:rsidRPr="00A87E4F">
              <w:rPr>
                <w:b/>
                <w:bCs/>
                <w:i/>
                <w:iCs/>
              </w:rPr>
              <w:t>K</w:t>
            </w:r>
            <w:r>
              <w:t xml:space="preserve"> - At this level of FUM, the </w:t>
            </w:r>
            <w:r w:rsidR="008B13B3">
              <w:t>total cost inc.</w:t>
            </w:r>
            <w:r>
              <w:t xml:space="preserve"> investment management fee (£</w:t>
            </w:r>
            <w:r w:rsidR="00072963">
              <w:t>5,000</w:t>
            </w:r>
            <w:r>
              <w:t>) exceeds the cost of delivery (£</w:t>
            </w:r>
            <w:r w:rsidR="00072963">
              <w:t>2,825</w:t>
            </w:r>
            <w:r>
              <w:t>)</w:t>
            </w:r>
            <w:r w:rsidR="00C60435">
              <w:t>.  Industry standard to charge a percentage on fees &amp; commissions with sl</w:t>
            </w:r>
            <w:r w:rsidR="00F017D4">
              <w:t>i</w:t>
            </w:r>
            <w:r w:rsidR="00C60435">
              <w:t>ding scale. Average overall figure = 2.2%</w:t>
            </w:r>
            <w:r w:rsidR="00AD2817">
              <w:t>/annum</w:t>
            </w:r>
          </w:p>
          <w:p w14:paraId="17899394" w14:textId="77777777" w:rsidR="00A87E4F" w:rsidRDefault="00A87E4F" w:rsidP="00B208A5"/>
          <w:p w14:paraId="4BCF092C" w14:textId="289A0E65" w:rsidR="00C60435" w:rsidRDefault="00A87E4F" w:rsidP="00C60435">
            <w:r w:rsidRPr="00A87E4F">
              <w:rPr>
                <w:b/>
                <w:bCs/>
                <w:i/>
                <w:iCs/>
              </w:rPr>
              <w:t>FUM £</w:t>
            </w:r>
            <w:r w:rsidR="00072963">
              <w:rPr>
                <w:b/>
                <w:bCs/>
                <w:i/>
                <w:iCs/>
              </w:rPr>
              <w:t>500K</w:t>
            </w:r>
            <w:r>
              <w:t xml:space="preserve"> – </w:t>
            </w:r>
            <w:r w:rsidR="00C60435">
              <w:t>At this level of FUM, the total cost inc. investment management fee (£10,000) exceeds the cost of delivery (£2,825) Industry standard to charge a percentage on fees &amp; commissions with sl</w:t>
            </w:r>
            <w:r w:rsidR="00F017D4">
              <w:t>i</w:t>
            </w:r>
            <w:r w:rsidR="00C60435">
              <w:t>ding scale. Average overall figure = 2.1%</w:t>
            </w:r>
            <w:r w:rsidR="00AD2817">
              <w:t>/annum</w:t>
            </w:r>
          </w:p>
          <w:p w14:paraId="0CFC4509" w14:textId="609FB4CC" w:rsidR="00A87E4F" w:rsidRDefault="00A87E4F" w:rsidP="00B208A5"/>
          <w:p w14:paraId="29FA4DE6" w14:textId="2B00A75E" w:rsidR="00A87E4F" w:rsidRDefault="00A87E4F" w:rsidP="00B208A5"/>
          <w:p w14:paraId="0234B47F" w14:textId="392700EC" w:rsidR="00C60435" w:rsidRDefault="00A87E4F" w:rsidP="00C60435">
            <w:r w:rsidRPr="00A87E4F">
              <w:rPr>
                <w:b/>
                <w:bCs/>
                <w:i/>
                <w:iCs/>
              </w:rPr>
              <w:t>FUM £</w:t>
            </w:r>
            <w:r w:rsidR="00072963">
              <w:rPr>
                <w:b/>
                <w:bCs/>
                <w:i/>
                <w:iCs/>
              </w:rPr>
              <w:t>1</w:t>
            </w:r>
            <w:r w:rsidRPr="00A87E4F">
              <w:rPr>
                <w:b/>
                <w:bCs/>
                <w:i/>
                <w:iCs/>
              </w:rPr>
              <w:t>M</w:t>
            </w:r>
            <w:r>
              <w:t xml:space="preserve"> – </w:t>
            </w:r>
            <w:r w:rsidR="00C60435">
              <w:t>At this level of FUM, the total cost inc. investment management fee (£20,000) exceeds the cost of delivery (£2,825) Industry standard to charge a percentage on fees &amp; commissions with sl</w:t>
            </w:r>
            <w:r w:rsidR="00F017D4">
              <w:t>i</w:t>
            </w:r>
            <w:r w:rsidR="00C60435">
              <w:t>ding scale. Average overall figure = 2.0%</w:t>
            </w:r>
            <w:r w:rsidR="00AD2817">
              <w:t>/annum</w:t>
            </w:r>
          </w:p>
          <w:p w14:paraId="49D69E02" w14:textId="3AFD303F" w:rsidR="00A87E4F" w:rsidRDefault="00A87E4F" w:rsidP="00B208A5"/>
          <w:p w14:paraId="7F95F8D7" w14:textId="77777777" w:rsidR="00A87E4F" w:rsidRDefault="00A87E4F" w:rsidP="00B208A5"/>
          <w:p w14:paraId="4F1C32DF" w14:textId="285B3B79" w:rsidR="00C60435" w:rsidRDefault="00A87E4F" w:rsidP="00C60435">
            <w:r w:rsidRPr="00A87E4F">
              <w:rPr>
                <w:b/>
                <w:bCs/>
                <w:i/>
                <w:iCs/>
              </w:rPr>
              <w:t>FUM £</w:t>
            </w:r>
            <w:r w:rsidR="00072963">
              <w:rPr>
                <w:b/>
                <w:bCs/>
                <w:i/>
                <w:iCs/>
              </w:rPr>
              <w:t>4</w:t>
            </w:r>
            <w:r w:rsidRPr="00A87E4F">
              <w:rPr>
                <w:b/>
                <w:bCs/>
                <w:i/>
                <w:iCs/>
              </w:rPr>
              <w:t>M</w:t>
            </w:r>
            <w:r>
              <w:t xml:space="preserve"> - </w:t>
            </w:r>
            <w:r w:rsidR="00C60435">
              <w:t>At this level of FUM, the total cost inc. investment management fee (£60,000) exceeds the cost of delivery (£2,825) Industry standard to charge a percentage on fees &amp; commissions with sl</w:t>
            </w:r>
            <w:r w:rsidR="00F017D4">
              <w:t>i</w:t>
            </w:r>
            <w:r w:rsidR="00C60435">
              <w:t>ding scale. Average overall figure = 1.5%</w:t>
            </w:r>
            <w:r w:rsidR="00AD2817">
              <w:t>/annum</w:t>
            </w:r>
          </w:p>
          <w:p w14:paraId="6FF07D5D" w14:textId="07D886FB" w:rsidR="00A87E4F" w:rsidRDefault="00A87E4F" w:rsidP="00B208A5"/>
          <w:p w14:paraId="02DCAB61" w14:textId="48546747" w:rsidR="00A87E4F" w:rsidRDefault="00A87E4F" w:rsidP="00B208A5"/>
        </w:tc>
      </w:tr>
      <w:tr w:rsidR="00D35E35" w14:paraId="08231EC1" w14:textId="77777777" w:rsidTr="006A6171">
        <w:tc>
          <w:tcPr>
            <w:tcW w:w="13630" w:type="dxa"/>
            <w:gridSpan w:val="5"/>
          </w:tcPr>
          <w:p w14:paraId="34A063D8" w14:textId="680170EF" w:rsidR="00D35E35" w:rsidRPr="00D35E35" w:rsidRDefault="00D35E35" w:rsidP="00B208A5">
            <w:pPr>
              <w:rPr>
                <w:b/>
                <w:bCs/>
              </w:rPr>
            </w:pPr>
            <w:r w:rsidRPr="00D35E35">
              <w:rPr>
                <w:b/>
                <w:bCs/>
              </w:rPr>
              <w:lastRenderedPageBreak/>
              <w:t>Client Feedback</w:t>
            </w:r>
          </w:p>
        </w:tc>
      </w:tr>
      <w:tr w:rsidR="00D35E35" w14:paraId="0C0AC2BD" w14:textId="77777777" w:rsidTr="006A6171">
        <w:tc>
          <w:tcPr>
            <w:tcW w:w="13630" w:type="dxa"/>
            <w:gridSpan w:val="5"/>
          </w:tcPr>
          <w:p w14:paraId="11127477" w14:textId="0897FA79" w:rsidR="00D35E35" w:rsidRDefault="00A87E4F" w:rsidP="00521CF0">
            <w:r>
              <w:t>Client feedback demonstrates that clients in this category do not expect exceptional returns and are generally content with the way the portfolio has performed.. There have been no complaints received in relation to this service.</w:t>
            </w:r>
            <w:r w:rsidR="006D4FB6">
              <w:t xml:space="preserve">  The client questionnaire</w:t>
            </w:r>
            <w:r w:rsidR="009B0696">
              <w:t xml:space="preserve"> of which the firm received 70+ responses confirm that clients feel they are receiving fair value and communications are clear.</w:t>
            </w:r>
          </w:p>
        </w:tc>
      </w:tr>
      <w:tr w:rsidR="00B2452F" w14:paraId="64E309EE" w14:textId="77777777" w:rsidTr="006A6171">
        <w:tc>
          <w:tcPr>
            <w:tcW w:w="13630" w:type="dxa"/>
            <w:gridSpan w:val="5"/>
          </w:tcPr>
          <w:p w14:paraId="77752A41" w14:textId="1F155F89" w:rsidR="00B2452F" w:rsidRPr="0068294B" w:rsidRDefault="0068294B" w:rsidP="0068294B">
            <w:pPr>
              <w:rPr>
                <w:b/>
                <w:bCs/>
              </w:rPr>
            </w:pPr>
            <w:r w:rsidRPr="0068294B">
              <w:rPr>
                <w:b/>
                <w:bCs/>
              </w:rPr>
              <w:t>Overall Assessment</w:t>
            </w:r>
          </w:p>
        </w:tc>
      </w:tr>
      <w:tr w:rsidR="0068294B" w14:paraId="40BAFB42" w14:textId="77777777" w:rsidTr="004A0A03">
        <w:tc>
          <w:tcPr>
            <w:tcW w:w="3639" w:type="dxa"/>
            <w:gridSpan w:val="2"/>
          </w:tcPr>
          <w:p w14:paraId="13ED1FB1" w14:textId="023B7BA8" w:rsidR="0068294B" w:rsidRDefault="002C30F4" w:rsidP="00B2452F">
            <w:pPr>
              <w:tabs>
                <w:tab w:val="left" w:pos="3520"/>
                <w:tab w:val="left" w:pos="6928"/>
                <w:tab w:val="left" w:pos="10335"/>
              </w:tabs>
            </w:pPr>
            <w:r>
              <w:t>D</w:t>
            </w:r>
            <w:r w:rsidR="00692983">
              <w:t>o fees and charges provide fair value?</w:t>
            </w:r>
          </w:p>
        </w:tc>
        <w:tc>
          <w:tcPr>
            <w:tcW w:w="9991" w:type="dxa"/>
            <w:gridSpan w:val="3"/>
          </w:tcPr>
          <w:p w14:paraId="156E3A30" w14:textId="10086F1D" w:rsidR="0068294B" w:rsidRDefault="009B0696" w:rsidP="00B2452F">
            <w:pPr>
              <w:tabs>
                <w:tab w:val="left" w:pos="3520"/>
                <w:tab w:val="left" w:pos="6928"/>
                <w:tab w:val="left" w:pos="10335"/>
              </w:tabs>
            </w:pPr>
            <w:r>
              <w:t>Given the level of service provided, the performance of the portfolio, client feedback and the fact that fees and charges do not exceed the cost of delivery excessively, it is our opinion that the service continues to provide fair value.</w:t>
            </w:r>
          </w:p>
        </w:tc>
      </w:tr>
      <w:tr w:rsidR="0046256C" w14:paraId="669A8FAB" w14:textId="77777777" w:rsidTr="004A0A03">
        <w:tc>
          <w:tcPr>
            <w:tcW w:w="3639" w:type="dxa"/>
            <w:gridSpan w:val="2"/>
          </w:tcPr>
          <w:p w14:paraId="4F7F9087" w14:textId="650D1749" w:rsidR="0046256C" w:rsidRDefault="0046256C" w:rsidP="00B2452F">
            <w:pPr>
              <w:tabs>
                <w:tab w:val="left" w:pos="3520"/>
                <w:tab w:val="left" w:pos="6928"/>
                <w:tab w:val="left" w:pos="10335"/>
              </w:tabs>
            </w:pPr>
            <w:r>
              <w:t xml:space="preserve">Are fees and charges in line with industry </w:t>
            </w:r>
            <w:r w:rsidR="00F5284D">
              <w:t>norms?</w:t>
            </w:r>
          </w:p>
        </w:tc>
        <w:tc>
          <w:tcPr>
            <w:tcW w:w="9991" w:type="dxa"/>
            <w:gridSpan w:val="3"/>
          </w:tcPr>
          <w:p w14:paraId="3DBDA0E8" w14:textId="77777777" w:rsidR="009B0696" w:rsidRDefault="009B0696" w:rsidP="009B0696">
            <w:pPr>
              <w:tabs>
                <w:tab w:val="left" w:pos="3520"/>
                <w:tab w:val="left" w:pos="6928"/>
                <w:tab w:val="left" w:pos="10335"/>
              </w:tabs>
            </w:pPr>
            <w:r>
              <w:t xml:space="preserve">Yes. </w:t>
            </w:r>
          </w:p>
          <w:p w14:paraId="6BD85DFC" w14:textId="67B0C1E2" w:rsidR="0046256C" w:rsidRDefault="00F46C92" w:rsidP="009B0696">
            <w:pPr>
              <w:tabs>
                <w:tab w:val="left" w:pos="3520"/>
                <w:tab w:val="left" w:pos="6928"/>
                <w:tab w:val="left" w:pos="10335"/>
              </w:tabs>
            </w:pPr>
            <w:r>
              <w:t xml:space="preserve">3 other </w:t>
            </w:r>
            <w:r w:rsidR="00C60435">
              <w:t>firms’</w:t>
            </w:r>
            <w:r>
              <w:t xml:space="preserve"> websites (Redmayne Bentley, RBC</w:t>
            </w:r>
            <w:r w:rsidR="00C60435">
              <w:t>/BD</w:t>
            </w:r>
            <w:r>
              <w:t xml:space="preserve"> &amp; Evelyn Partners) offering same service have been analysed and discussed.  </w:t>
            </w:r>
          </w:p>
        </w:tc>
      </w:tr>
      <w:tr w:rsidR="00F5284D" w14:paraId="318352AA" w14:textId="77777777" w:rsidTr="004A0A03">
        <w:tc>
          <w:tcPr>
            <w:tcW w:w="3639" w:type="dxa"/>
            <w:gridSpan w:val="2"/>
          </w:tcPr>
          <w:p w14:paraId="3B592D69" w14:textId="279753DD" w:rsidR="00F5284D" w:rsidRDefault="00F5284D" w:rsidP="00B2452F">
            <w:pPr>
              <w:tabs>
                <w:tab w:val="left" w:pos="3520"/>
                <w:tab w:val="left" w:pos="6928"/>
                <w:tab w:val="left" w:pos="10335"/>
              </w:tabs>
            </w:pPr>
            <w:r>
              <w:t>Are fees and charges in line with similar firms?</w:t>
            </w:r>
          </w:p>
        </w:tc>
        <w:tc>
          <w:tcPr>
            <w:tcW w:w="9991" w:type="dxa"/>
            <w:gridSpan w:val="3"/>
          </w:tcPr>
          <w:p w14:paraId="3B05F175" w14:textId="77777777" w:rsidR="000F3AC4" w:rsidRDefault="000F3AC4" w:rsidP="000F3AC4">
            <w:pPr>
              <w:tabs>
                <w:tab w:val="left" w:pos="3520"/>
                <w:tab w:val="left" w:pos="6928"/>
                <w:tab w:val="left" w:pos="10335"/>
              </w:tabs>
            </w:pPr>
            <w:r>
              <w:t>Yes.</w:t>
            </w:r>
          </w:p>
          <w:p w14:paraId="672FD821" w14:textId="17D09174" w:rsidR="00F5284D" w:rsidRDefault="00F46C92" w:rsidP="000F3AC4">
            <w:pPr>
              <w:tabs>
                <w:tab w:val="left" w:pos="3520"/>
                <w:tab w:val="left" w:pos="6928"/>
                <w:tab w:val="left" w:pos="10335"/>
              </w:tabs>
            </w:pPr>
            <w:r>
              <w:t xml:space="preserve">3 other </w:t>
            </w:r>
            <w:r w:rsidR="00C60435">
              <w:t>firms’</w:t>
            </w:r>
            <w:r>
              <w:t xml:space="preserve"> websites (Redmayne Bentley, RBC</w:t>
            </w:r>
            <w:r w:rsidR="00C60435">
              <w:t>/BD</w:t>
            </w:r>
            <w:r>
              <w:t xml:space="preserve"> &amp; Evelyn Partners) offering same service have been analysed and discussed.  </w:t>
            </w:r>
          </w:p>
        </w:tc>
      </w:tr>
      <w:tr w:rsidR="000F3AC4" w14:paraId="320FDB9E" w14:textId="77777777" w:rsidTr="004A0A03">
        <w:tc>
          <w:tcPr>
            <w:tcW w:w="3639" w:type="dxa"/>
            <w:gridSpan w:val="2"/>
          </w:tcPr>
          <w:p w14:paraId="08C080AD" w14:textId="054A64ED" w:rsidR="000F3AC4" w:rsidRDefault="000F3AC4" w:rsidP="000F3AC4">
            <w:pPr>
              <w:tabs>
                <w:tab w:val="left" w:pos="3520"/>
                <w:tab w:val="left" w:pos="6928"/>
                <w:tab w:val="left" w:pos="10335"/>
              </w:tabs>
            </w:pPr>
            <w:r>
              <w:t>Are the benefits and features in line with target market requirements?</w:t>
            </w:r>
          </w:p>
        </w:tc>
        <w:tc>
          <w:tcPr>
            <w:tcW w:w="9991" w:type="dxa"/>
            <w:gridSpan w:val="3"/>
          </w:tcPr>
          <w:p w14:paraId="5C1523EB" w14:textId="6361E3F5" w:rsidR="000F3AC4" w:rsidRDefault="000F3AC4" w:rsidP="000F3AC4">
            <w:pPr>
              <w:tabs>
                <w:tab w:val="left" w:pos="3520"/>
                <w:tab w:val="left" w:pos="6928"/>
                <w:tab w:val="left" w:pos="10335"/>
              </w:tabs>
            </w:pPr>
            <w:r>
              <w:t>Yes, we believe that they meet target market requirements.</w:t>
            </w:r>
          </w:p>
        </w:tc>
      </w:tr>
      <w:tr w:rsidR="000F3AC4" w14:paraId="56782AC1" w14:textId="77777777" w:rsidTr="004A0A03">
        <w:tc>
          <w:tcPr>
            <w:tcW w:w="3639" w:type="dxa"/>
            <w:gridSpan w:val="2"/>
          </w:tcPr>
          <w:p w14:paraId="13657625" w14:textId="54D1EC0D" w:rsidR="000F3AC4" w:rsidRDefault="000F3AC4" w:rsidP="000F3AC4">
            <w:pPr>
              <w:tabs>
                <w:tab w:val="left" w:pos="3520"/>
                <w:tab w:val="left" w:pos="6928"/>
                <w:tab w:val="left" w:pos="10335"/>
              </w:tabs>
            </w:pPr>
            <w:r>
              <w:t>Are there some clients in this target market that may benefit from a lower charging service?</w:t>
            </w:r>
          </w:p>
        </w:tc>
        <w:tc>
          <w:tcPr>
            <w:tcW w:w="9991" w:type="dxa"/>
            <w:gridSpan w:val="3"/>
          </w:tcPr>
          <w:p w14:paraId="3672356B" w14:textId="182FC735" w:rsidR="000F3AC4" w:rsidRPr="00865782" w:rsidRDefault="000F3AC4" w:rsidP="000F3AC4">
            <w:pPr>
              <w:tabs>
                <w:tab w:val="left" w:pos="3520"/>
                <w:tab w:val="left" w:pos="6928"/>
                <w:tab w:val="left" w:pos="10335"/>
              </w:tabs>
            </w:pPr>
            <w:r w:rsidRPr="00865782">
              <w:t xml:space="preserve">Client requirements are reviewed on an ongoing basis </w:t>
            </w:r>
            <w:r w:rsidR="00E73EBF" w:rsidRPr="00865782">
              <w:t xml:space="preserve">however our charges are presented on a scaled basis.  In the event </w:t>
            </w:r>
            <w:r w:rsidR="00865782" w:rsidRPr="00865782">
              <w:t xml:space="preserve">that it became a clear that a discretionary portfolio was potentially no longer suitable for the client, </w:t>
            </w:r>
            <w:r w:rsidR="00865782" w:rsidRPr="00865782">
              <w:lastRenderedPageBreak/>
              <w:t>we would recommend that they seek the advice of an independent financial adviser</w:t>
            </w:r>
            <w:r w:rsidR="00865782">
              <w:t xml:space="preserve"> as the firm does not provide advice.</w:t>
            </w:r>
          </w:p>
        </w:tc>
      </w:tr>
      <w:tr w:rsidR="000F3AC4" w14:paraId="29D385F3" w14:textId="77777777" w:rsidTr="004A0A03">
        <w:tc>
          <w:tcPr>
            <w:tcW w:w="3639" w:type="dxa"/>
            <w:gridSpan w:val="2"/>
          </w:tcPr>
          <w:p w14:paraId="1FF34D77" w14:textId="7BF9F7BE" w:rsidR="000F3AC4" w:rsidRDefault="000F3AC4" w:rsidP="000F3AC4">
            <w:pPr>
              <w:tabs>
                <w:tab w:val="left" w:pos="3520"/>
                <w:tab w:val="left" w:pos="6928"/>
                <w:tab w:val="left" w:pos="10335"/>
              </w:tabs>
            </w:pPr>
            <w:r>
              <w:lastRenderedPageBreak/>
              <w:t>Does this service merit the need for ongoing review service?</w:t>
            </w:r>
          </w:p>
        </w:tc>
        <w:tc>
          <w:tcPr>
            <w:tcW w:w="9991" w:type="dxa"/>
            <w:gridSpan w:val="3"/>
          </w:tcPr>
          <w:p w14:paraId="53EF9928" w14:textId="4D1AD007" w:rsidR="000F3AC4" w:rsidRDefault="004318C0" w:rsidP="000F3AC4">
            <w:pPr>
              <w:tabs>
                <w:tab w:val="left" w:pos="3520"/>
                <w:tab w:val="left" w:pos="6928"/>
                <w:tab w:val="left" w:pos="10335"/>
              </w:tabs>
            </w:pPr>
            <w:r>
              <w:t xml:space="preserve">N/A as the firm does not provide advice.  </w:t>
            </w:r>
            <w:r w:rsidR="00C60435">
              <w:t>However,</w:t>
            </w:r>
            <w:r>
              <w:t xml:space="preserve"> portfolios are monitored under discretion and a statement of suitability provided at least annually.  </w:t>
            </w:r>
          </w:p>
        </w:tc>
      </w:tr>
      <w:tr w:rsidR="000F3AC4" w14:paraId="0E9424EA" w14:textId="77777777" w:rsidTr="004A0A03">
        <w:tc>
          <w:tcPr>
            <w:tcW w:w="3639" w:type="dxa"/>
            <w:gridSpan w:val="2"/>
          </w:tcPr>
          <w:p w14:paraId="1AF5F029" w14:textId="74555C8D" w:rsidR="000F3AC4" w:rsidRDefault="000F3AC4" w:rsidP="000F3AC4">
            <w:pPr>
              <w:tabs>
                <w:tab w:val="left" w:pos="3520"/>
                <w:tab w:val="left" w:pos="6928"/>
                <w:tab w:val="left" w:pos="10335"/>
              </w:tabs>
            </w:pPr>
            <w:r>
              <w:t>Has performance been in line with expectations?</w:t>
            </w:r>
          </w:p>
        </w:tc>
        <w:tc>
          <w:tcPr>
            <w:tcW w:w="9991" w:type="dxa"/>
            <w:gridSpan w:val="3"/>
          </w:tcPr>
          <w:p w14:paraId="680B24EA" w14:textId="11F30F31" w:rsidR="000F3AC4" w:rsidRDefault="000F3AC4" w:rsidP="000F3AC4">
            <w:pPr>
              <w:tabs>
                <w:tab w:val="left" w:pos="3520"/>
                <w:tab w:val="left" w:pos="6928"/>
                <w:tab w:val="left" w:pos="10335"/>
              </w:tabs>
            </w:pPr>
            <w:r>
              <w:t>Yes. See separate data.</w:t>
            </w:r>
          </w:p>
        </w:tc>
      </w:tr>
      <w:tr w:rsidR="000F3AC4" w14:paraId="1CB2E2AA" w14:textId="77777777" w:rsidTr="004A0A03">
        <w:tc>
          <w:tcPr>
            <w:tcW w:w="3639" w:type="dxa"/>
            <w:gridSpan w:val="2"/>
          </w:tcPr>
          <w:p w14:paraId="3CCDFD78" w14:textId="1415932C" w:rsidR="000F3AC4" w:rsidRDefault="000F3AC4" w:rsidP="000F3AC4">
            <w:pPr>
              <w:tabs>
                <w:tab w:val="left" w:pos="3520"/>
                <w:tab w:val="left" w:pos="6928"/>
                <w:tab w:val="left" w:pos="10335"/>
              </w:tabs>
            </w:pPr>
            <w:r>
              <w:t>Has client feedback or complaints highlighted any concerns?</w:t>
            </w:r>
          </w:p>
        </w:tc>
        <w:tc>
          <w:tcPr>
            <w:tcW w:w="9991" w:type="dxa"/>
            <w:gridSpan w:val="3"/>
          </w:tcPr>
          <w:p w14:paraId="4581B96A" w14:textId="1863F64C" w:rsidR="000F3AC4" w:rsidRDefault="004318C0" w:rsidP="000F3AC4">
            <w:pPr>
              <w:tabs>
                <w:tab w:val="left" w:pos="3520"/>
                <w:tab w:val="left" w:pos="6928"/>
                <w:tab w:val="left" w:pos="10335"/>
              </w:tabs>
            </w:pPr>
            <w:r>
              <w:t xml:space="preserve">No negative feedback has been </w:t>
            </w:r>
            <w:r w:rsidR="00BA24B9">
              <w:t>received from circa 70+ clients.</w:t>
            </w:r>
          </w:p>
        </w:tc>
      </w:tr>
      <w:tr w:rsidR="00074BD2" w14:paraId="41C20ADD" w14:textId="77777777" w:rsidTr="002D0D3A">
        <w:tc>
          <w:tcPr>
            <w:tcW w:w="13630" w:type="dxa"/>
            <w:gridSpan w:val="5"/>
          </w:tcPr>
          <w:p w14:paraId="73849E83" w14:textId="0D7B2D56" w:rsidR="00074BD2" w:rsidRPr="00074BD2" w:rsidRDefault="00074BD2" w:rsidP="00074BD2">
            <w:pPr>
              <w:rPr>
                <w:b/>
                <w:bCs/>
              </w:rPr>
            </w:pPr>
            <w:r w:rsidRPr="00074BD2">
              <w:rPr>
                <w:b/>
                <w:bCs/>
              </w:rPr>
              <w:t>Action Plan for Improvement</w:t>
            </w:r>
          </w:p>
        </w:tc>
      </w:tr>
      <w:tr w:rsidR="00074BD2" w14:paraId="4EF96405" w14:textId="77777777" w:rsidTr="00BD4B5C">
        <w:tc>
          <w:tcPr>
            <w:tcW w:w="13630" w:type="dxa"/>
            <w:gridSpan w:val="5"/>
          </w:tcPr>
          <w:p w14:paraId="6F4897ED" w14:textId="55CB55AA" w:rsidR="00074BD2" w:rsidRDefault="00FB7DCE" w:rsidP="00FB7DCE">
            <w:pPr>
              <w:tabs>
                <w:tab w:val="left" w:pos="3520"/>
                <w:tab w:val="left" w:pos="6928"/>
                <w:tab w:val="left" w:pos="10335"/>
              </w:tabs>
            </w:pPr>
            <w:r w:rsidRPr="00BD4B5C">
              <w:t>Nothing at this time.</w:t>
            </w:r>
          </w:p>
        </w:tc>
      </w:tr>
    </w:tbl>
    <w:p w14:paraId="51658C04" w14:textId="3F7CB4AE" w:rsidR="00C47FEF" w:rsidRDefault="00C47FEF">
      <w:pPr>
        <w:spacing w:line="259" w:lineRule="auto"/>
        <w:rPr>
          <w:u w:val="single"/>
        </w:rPr>
      </w:pPr>
    </w:p>
    <w:p w14:paraId="42EB9341" w14:textId="627CF4A3" w:rsidR="00B30001" w:rsidRDefault="00B30001">
      <w:pPr>
        <w:spacing w:line="259" w:lineRule="auto"/>
        <w:rPr>
          <w:u w:val="single"/>
        </w:rPr>
      </w:pPr>
      <w:r>
        <w:rPr>
          <w:u w:val="single"/>
        </w:rPr>
        <w:br w:type="page"/>
      </w:r>
    </w:p>
    <w:tbl>
      <w:tblPr>
        <w:tblW w:w="8340" w:type="dxa"/>
        <w:tblLook w:val="04A0" w:firstRow="1" w:lastRow="0" w:firstColumn="1" w:lastColumn="0" w:noHBand="0" w:noVBand="1"/>
      </w:tblPr>
      <w:tblGrid>
        <w:gridCol w:w="4620"/>
        <w:gridCol w:w="942"/>
        <w:gridCol w:w="2960"/>
      </w:tblGrid>
      <w:tr w:rsidR="000B107A" w:rsidRPr="000B107A" w14:paraId="31C87F4F" w14:textId="77777777" w:rsidTr="000B107A">
        <w:trPr>
          <w:trHeight w:val="288"/>
        </w:trPr>
        <w:tc>
          <w:tcPr>
            <w:tcW w:w="4620" w:type="dxa"/>
            <w:tcBorders>
              <w:top w:val="nil"/>
              <w:left w:val="nil"/>
              <w:bottom w:val="nil"/>
              <w:right w:val="nil"/>
            </w:tcBorders>
            <w:noWrap/>
            <w:vAlign w:val="bottom"/>
            <w:hideMark/>
          </w:tcPr>
          <w:p w14:paraId="50CD3CBE" w14:textId="77777777" w:rsidR="000B107A" w:rsidRPr="000B107A" w:rsidRDefault="000B107A" w:rsidP="000B107A">
            <w:pPr>
              <w:spacing w:after="0" w:line="240" w:lineRule="auto"/>
              <w:rPr>
                <w:rFonts w:ascii="Times New Roman" w:eastAsia="Times New Roman" w:hAnsi="Times New Roman" w:cs="Times New Roman"/>
                <w:sz w:val="24"/>
                <w:szCs w:val="24"/>
                <w:lang w:eastAsia="en-GB"/>
              </w:rPr>
            </w:pPr>
          </w:p>
        </w:tc>
        <w:tc>
          <w:tcPr>
            <w:tcW w:w="760" w:type="dxa"/>
            <w:tcBorders>
              <w:top w:val="nil"/>
              <w:left w:val="nil"/>
              <w:bottom w:val="nil"/>
              <w:right w:val="nil"/>
            </w:tcBorders>
            <w:shd w:val="clear" w:color="000000" w:fill="FCE4D6"/>
            <w:noWrap/>
            <w:vAlign w:val="bottom"/>
            <w:hideMark/>
          </w:tcPr>
          <w:p w14:paraId="6CA02DFF" w14:textId="77777777" w:rsidR="000B107A" w:rsidRPr="000B107A" w:rsidRDefault="000B107A" w:rsidP="000B107A">
            <w:pPr>
              <w:spacing w:after="0" w:line="240" w:lineRule="auto"/>
              <w:jc w:val="center"/>
              <w:rPr>
                <w:rFonts w:ascii="Calibri" w:eastAsia="Times New Roman" w:hAnsi="Calibri" w:cs="Calibri"/>
                <w:b/>
                <w:bCs/>
                <w:color w:val="000000"/>
                <w:sz w:val="22"/>
                <w:lang w:eastAsia="en-GB"/>
              </w:rPr>
            </w:pPr>
            <w:r w:rsidRPr="000B107A">
              <w:rPr>
                <w:rFonts w:ascii="Calibri" w:eastAsia="Times New Roman" w:hAnsi="Calibri" w:cs="Calibri"/>
                <w:b/>
                <w:bCs/>
                <w:color w:val="000000"/>
                <w:sz w:val="22"/>
                <w:lang w:eastAsia="en-GB"/>
              </w:rPr>
              <w:t>£</w:t>
            </w:r>
          </w:p>
        </w:tc>
        <w:tc>
          <w:tcPr>
            <w:tcW w:w="2960" w:type="dxa"/>
            <w:tcBorders>
              <w:top w:val="nil"/>
              <w:left w:val="nil"/>
              <w:bottom w:val="nil"/>
              <w:right w:val="nil"/>
            </w:tcBorders>
            <w:noWrap/>
            <w:vAlign w:val="bottom"/>
            <w:hideMark/>
          </w:tcPr>
          <w:p w14:paraId="58117BD5" w14:textId="77777777" w:rsidR="000B107A" w:rsidRPr="000B107A" w:rsidRDefault="000B107A" w:rsidP="000B107A">
            <w:pPr>
              <w:spacing w:after="0" w:line="240" w:lineRule="auto"/>
              <w:jc w:val="center"/>
              <w:rPr>
                <w:rFonts w:ascii="Calibri" w:eastAsia="Times New Roman" w:hAnsi="Calibri" w:cs="Calibri"/>
                <w:b/>
                <w:bCs/>
                <w:color w:val="000000"/>
                <w:sz w:val="22"/>
                <w:lang w:eastAsia="en-GB"/>
              </w:rPr>
            </w:pPr>
          </w:p>
        </w:tc>
      </w:tr>
      <w:tr w:rsidR="000B107A" w:rsidRPr="000B107A" w14:paraId="23BD1AFA" w14:textId="77777777" w:rsidTr="000B107A">
        <w:trPr>
          <w:trHeight w:val="288"/>
        </w:trPr>
        <w:tc>
          <w:tcPr>
            <w:tcW w:w="4620" w:type="dxa"/>
            <w:tcBorders>
              <w:top w:val="nil"/>
              <w:left w:val="nil"/>
              <w:bottom w:val="nil"/>
              <w:right w:val="nil"/>
            </w:tcBorders>
            <w:shd w:val="clear" w:color="000000" w:fill="B4C6E7"/>
            <w:noWrap/>
            <w:vAlign w:val="bottom"/>
            <w:hideMark/>
          </w:tcPr>
          <w:p w14:paraId="73C8C6DF" w14:textId="77777777" w:rsidR="000B107A" w:rsidRPr="000B107A" w:rsidRDefault="000B107A" w:rsidP="000B107A">
            <w:pPr>
              <w:spacing w:after="0" w:line="240" w:lineRule="auto"/>
              <w:rPr>
                <w:rFonts w:ascii="Calibri" w:eastAsia="Times New Roman" w:hAnsi="Calibri" w:cs="Calibri"/>
                <w:color w:val="000000"/>
                <w:sz w:val="22"/>
                <w:lang w:eastAsia="en-GB"/>
              </w:rPr>
            </w:pPr>
            <w:r w:rsidRPr="000B107A">
              <w:rPr>
                <w:rFonts w:ascii="Calibri" w:eastAsia="Times New Roman" w:hAnsi="Calibri" w:cs="Calibri"/>
                <w:color w:val="000000"/>
                <w:sz w:val="22"/>
                <w:lang w:eastAsia="en-GB"/>
              </w:rPr>
              <w:t>Admin Staff Total Costs</w:t>
            </w:r>
          </w:p>
        </w:tc>
        <w:tc>
          <w:tcPr>
            <w:tcW w:w="760" w:type="dxa"/>
            <w:tcBorders>
              <w:top w:val="nil"/>
              <w:left w:val="nil"/>
              <w:bottom w:val="nil"/>
              <w:right w:val="nil"/>
            </w:tcBorders>
            <w:shd w:val="clear" w:color="000000" w:fill="FCE4D6"/>
            <w:noWrap/>
            <w:vAlign w:val="bottom"/>
            <w:hideMark/>
          </w:tcPr>
          <w:p w14:paraId="78825CA8" w14:textId="6829A303" w:rsidR="000B107A" w:rsidRPr="000B107A" w:rsidRDefault="000B107A" w:rsidP="000B107A">
            <w:pPr>
              <w:spacing w:after="0" w:line="240" w:lineRule="auto"/>
              <w:jc w:val="right"/>
              <w:rPr>
                <w:rFonts w:ascii="Calibri" w:eastAsia="Times New Roman" w:hAnsi="Calibri" w:cs="Calibri"/>
                <w:color w:val="000000"/>
                <w:sz w:val="22"/>
                <w:lang w:eastAsia="en-GB"/>
              </w:rPr>
            </w:pPr>
            <w:r w:rsidRPr="000B107A">
              <w:rPr>
                <w:rFonts w:ascii="Calibri" w:eastAsia="Times New Roman" w:hAnsi="Calibri" w:cs="Calibri"/>
                <w:color w:val="000000"/>
                <w:sz w:val="22"/>
                <w:lang w:eastAsia="en-GB"/>
              </w:rPr>
              <w:t>5</w:t>
            </w:r>
            <w:r w:rsidR="00443ED4">
              <w:rPr>
                <w:rFonts w:ascii="Calibri" w:eastAsia="Times New Roman" w:hAnsi="Calibri" w:cs="Calibri"/>
                <w:color w:val="000000"/>
                <w:sz w:val="22"/>
                <w:lang w:eastAsia="en-GB"/>
              </w:rPr>
              <w:t>5,000</w:t>
            </w:r>
          </w:p>
        </w:tc>
        <w:tc>
          <w:tcPr>
            <w:tcW w:w="2960" w:type="dxa"/>
            <w:tcBorders>
              <w:top w:val="nil"/>
              <w:left w:val="nil"/>
              <w:bottom w:val="nil"/>
              <w:right w:val="nil"/>
            </w:tcBorders>
            <w:noWrap/>
            <w:vAlign w:val="bottom"/>
            <w:hideMark/>
          </w:tcPr>
          <w:p w14:paraId="3C299EC7" w14:textId="77777777" w:rsidR="000B107A" w:rsidRPr="000B107A" w:rsidRDefault="000B107A" w:rsidP="000B107A">
            <w:pPr>
              <w:spacing w:after="0" w:line="240" w:lineRule="auto"/>
              <w:jc w:val="right"/>
              <w:rPr>
                <w:rFonts w:ascii="Calibri" w:eastAsia="Times New Roman" w:hAnsi="Calibri" w:cs="Calibri"/>
                <w:color w:val="000000"/>
                <w:sz w:val="22"/>
                <w:lang w:eastAsia="en-GB"/>
              </w:rPr>
            </w:pPr>
          </w:p>
        </w:tc>
      </w:tr>
      <w:tr w:rsidR="000B107A" w:rsidRPr="000B107A" w14:paraId="735F0FFF" w14:textId="77777777" w:rsidTr="000B107A">
        <w:trPr>
          <w:trHeight w:val="288"/>
        </w:trPr>
        <w:tc>
          <w:tcPr>
            <w:tcW w:w="4620" w:type="dxa"/>
            <w:tcBorders>
              <w:top w:val="nil"/>
              <w:left w:val="nil"/>
              <w:bottom w:val="nil"/>
              <w:right w:val="nil"/>
            </w:tcBorders>
            <w:shd w:val="clear" w:color="000000" w:fill="B4C6E7"/>
            <w:noWrap/>
            <w:vAlign w:val="bottom"/>
            <w:hideMark/>
          </w:tcPr>
          <w:p w14:paraId="28C0A4C4" w14:textId="77777777" w:rsidR="000B107A" w:rsidRPr="000B107A" w:rsidRDefault="000B107A" w:rsidP="000B107A">
            <w:pPr>
              <w:spacing w:after="0" w:line="240" w:lineRule="auto"/>
              <w:rPr>
                <w:rFonts w:ascii="Calibri" w:eastAsia="Times New Roman" w:hAnsi="Calibri" w:cs="Calibri"/>
                <w:color w:val="000000"/>
                <w:sz w:val="22"/>
                <w:lang w:eastAsia="en-GB"/>
              </w:rPr>
            </w:pPr>
            <w:r w:rsidRPr="000B107A">
              <w:rPr>
                <w:rFonts w:ascii="Calibri" w:eastAsia="Times New Roman" w:hAnsi="Calibri" w:cs="Calibri"/>
                <w:color w:val="000000"/>
                <w:sz w:val="22"/>
                <w:lang w:eastAsia="en-GB"/>
              </w:rPr>
              <w:t>Investment Manager Total Costs</w:t>
            </w:r>
          </w:p>
        </w:tc>
        <w:tc>
          <w:tcPr>
            <w:tcW w:w="760" w:type="dxa"/>
            <w:tcBorders>
              <w:top w:val="nil"/>
              <w:left w:val="nil"/>
              <w:bottom w:val="nil"/>
              <w:right w:val="nil"/>
            </w:tcBorders>
            <w:shd w:val="clear" w:color="000000" w:fill="FCE4D6"/>
            <w:noWrap/>
            <w:vAlign w:val="bottom"/>
            <w:hideMark/>
          </w:tcPr>
          <w:p w14:paraId="017DB2AC" w14:textId="50A3CA0C" w:rsidR="000B107A" w:rsidRPr="000B107A" w:rsidRDefault="000B107A" w:rsidP="000B107A">
            <w:pPr>
              <w:spacing w:after="0" w:line="240" w:lineRule="auto"/>
              <w:jc w:val="right"/>
              <w:rPr>
                <w:rFonts w:ascii="Calibri" w:eastAsia="Times New Roman" w:hAnsi="Calibri" w:cs="Calibri"/>
                <w:color w:val="000000"/>
                <w:sz w:val="22"/>
                <w:lang w:eastAsia="en-GB"/>
              </w:rPr>
            </w:pPr>
            <w:r w:rsidRPr="000B107A">
              <w:rPr>
                <w:rFonts w:ascii="Calibri" w:eastAsia="Times New Roman" w:hAnsi="Calibri" w:cs="Calibri"/>
                <w:color w:val="000000"/>
                <w:sz w:val="22"/>
                <w:lang w:eastAsia="en-GB"/>
              </w:rPr>
              <w:t>1</w:t>
            </w:r>
            <w:r w:rsidR="00443ED4">
              <w:rPr>
                <w:rFonts w:ascii="Calibri" w:eastAsia="Times New Roman" w:hAnsi="Calibri" w:cs="Calibri"/>
                <w:color w:val="000000"/>
                <w:sz w:val="22"/>
                <w:lang w:eastAsia="en-GB"/>
              </w:rPr>
              <w:t>60,000</w:t>
            </w:r>
          </w:p>
        </w:tc>
        <w:tc>
          <w:tcPr>
            <w:tcW w:w="2960" w:type="dxa"/>
            <w:tcBorders>
              <w:top w:val="nil"/>
              <w:left w:val="nil"/>
              <w:bottom w:val="nil"/>
              <w:right w:val="nil"/>
            </w:tcBorders>
            <w:noWrap/>
            <w:vAlign w:val="bottom"/>
            <w:hideMark/>
          </w:tcPr>
          <w:p w14:paraId="4E3C1E31" w14:textId="77777777" w:rsidR="000B107A" w:rsidRPr="000B107A" w:rsidRDefault="000B107A" w:rsidP="000B107A">
            <w:pPr>
              <w:spacing w:after="0" w:line="240" w:lineRule="auto"/>
              <w:jc w:val="right"/>
              <w:rPr>
                <w:rFonts w:ascii="Calibri" w:eastAsia="Times New Roman" w:hAnsi="Calibri" w:cs="Calibri"/>
                <w:color w:val="000000"/>
                <w:sz w:val="22"/>
                <w:lang w:eastAsia="en-GB"/>
              </w:rPr>
            </w:pPr>
          </w:p>
        </w:tc>
      </w:tr>
      <w:tr w:rsidR="000B107A" w:rsidRPr="000B107A" w14:paraId="7CC620DD" w14:textId="77777777" w:rsidTr="000B107A">
        <w:trPr>
          <w:trHeight w:val="300"/>
        </w:trPr>
        <w:tc>
          <w:tcPr>
            <w:tcW w:w="4620" w:type="dxa"/>
            <w:tcBorders>
              <w:top w:val="nil"/>
              <w:left w:val="nil"/>
              <w:bottom w:val="nil"/>
              <w:right w:val="nil"/>
            </w:tcBorders>
            <w:shd w:val="clear" w:color="000000" w:fill="B4C6E7"/>
            <w:noWrap/>
            <w:vAlign w:val="bottom"/>
            <w:hideMark/>
          </w:tcPr>
          <w:p w14:paraId="20F598E8" w14:textId="77777777" w:rsidR="000B107A" w:rsidRPr="000B107A" w:rsidRDefault="000B107A" w:rsidP="000B107A">
            <w:pPr>
              <w:spacing w:after="0" w:line="240" w:lineRule="auto"/>
              <w:rPr>
                <w:rFonts w:ascii="Calibri" w:eastAsia="Times New Roman" w:hAnsi="Calibri" w:cs="Calibri"/>
                <w:color w:val="000000"/>
                <w:sz w:val="22"/>
                <w:lang w:eastAsia="en-GB"/>
              </w:rPr>
            </w:pPr>
            <w:r w:rsidRPr="000B107A">
              <w:rPr>
                <w:rFonts w:ascii="Calibri" w:eastAsia="Times New Roman" w:hAnsi="Calibri" w:cs="Calibri"/>
                <w:color w:val="000000"/>
                <w:sz w:val="22"/>
                <w:lang w:eastAsia="en-GB"/>
              </w:rPr>
              <w:t>Total Overheads</w:t>
            </w:r>
          </w:p>
        </w:tc>
        <w:tc>
          <w:tcPr>
            <w:tcW w:w="760" w:type="dxa"/>
            <w:tcBorders>
              <w:top w:val="nil"/>
              <w:left w:val="nil"/>
              <w:bottom w:val="nil"/>
              <w:right w:val="nil"/>
            </w:tcBorders>
            <w:shd w:val="clear" w:color="000000" w:fill="FCE4D6"/>
            <w:noWrap/>
            <w:vAlign w:val="bottom"/>
            <w:hideMark/>
          </w:tcPr>
          <w:p w14:paraId="08F7CC15" w14:textId="06E461DE" w:rsidR="000B107A" w:rsidRPr="000B107A" w:rsidRDefault="00443ED4" w:rsidP="000B107A">
            <w:pPr>
              <w:spacing w:after="0" w:line="240" w:lineRule="auto"/>
              <w:jc w:val="right"/>
              <w:rPr>
                <w:rFonts w:ascii="Calibri" w:eastAsia="Times New Roman" w:hAnsi="Calibri" w:cs="Calibri"/>
                <w:color w:val="000000"/>
                <w:sz w:val="22"/>
                <w:lang w:eastAsia="en-GB"/>
              </w:rPr>
            </w:pPr>
            <w:r>
              <w:rPr>
                <w:rFonts w:ascii="Calibri" w:eastAsia="Times New Roman" w:hAnsi="Calibri" w:cs="Calibri"/>
                <w:color w:val="000000"/>
                <w:sz w:val="22"/>
                <w:lang w:eastAsia="en-GB"/>
              </w:rPr>
              <w:t>321,776</w:t>
            </w:r>
          </w:p>
        </w:tc>
        <w:tc>
          <w:tcPr>
            <w:tcW w:w="2960" w:type="dxa"/>
            <w:tcBorders>
              <w:top w:val="nil"/>
              <w:left w:val="nil"/>
              <w:bottom w:val="nil"/>
              <w:right w:val="nil"/>
            </w:tcBorders>
            <w:noWrap/>
            <w:vAlign w:val="bottom"/>
            <w:hideMark/>
          </w:tcPr>
          <w:p w14:paraId="255D0644" w14:textId="77777777" w:rsidR="000B107A" w:rsidRPr="000B107A" w:rsidRDefault="000B107A" w:rsidP="000B107A">
            <w:pPr>
              <w:spacing w:after="0" w:line="240" w:lineRule="auto"/>
              <w:jc w:val="right"/>
              <w:rPr>
                <w:rFonts w:ascii="Calibri" w:eastAsia="Times New Roman" w:hAnsi="Calibri" w:cs="Calibri"/>
                <w:color w:val="000000"/>
                <w:sz w:val="22"/>
                <w:lang w:eastAsia="en-GB"/>
              </w:rPr>
            </w:pPr>
          </w:p>
        </w:tc>
      </w:tr>
      <w:tr w:rsidR="000B107A" w:rsidRPr="000B107A" w14:paraId="4BCB6082" w14:textId="77777777" w:rsidTr="000B107A">
        <w:trPr>
          <w:trHeight w:val="300"/>
        </w:trPr>
        <w:tc>
          <w:tcPr>
            <w:tcW w:w="4620" w:type="dxa"/>
            <w:tcBorders>
              <w:top w:val="nil"/>
              <w:left w:val="nil"/>
              <w:bottom w:val="nil"/>
              <w:right w:val="nil"/>
            </w:tcBorders>
            <w:noWrap/>
            <w:vAlign w:val="bottom"/>
            <w:hideMark/>
          </w:tcPr>
          <w:p w14:paraId="57E7A709" w14:textId="77777777" w:rsidR="000B107A" w:rsidRPr="000B107A" w:rsidRDefault="000B107A" w:rsidP="000B107A">
            <w:pPr>
              <w:spacing w:after="0" w:line="240" w:lineRule="auto"/>
              <w:rPr>
                <w:rFonts w:ascii="Times New Roman" w:eastAsia="Times New Roman" w:hAnsi="Times New Roman" w:cs="Times New Roman"/>
                <w:szCs w:val="20"/>
                <w:lang w:eastAsia="en-GB"/>
              </w:rPr>
            </w:pPr>
          </w:p>
        </w:tc>
        <w:tc>
          <w:tcPr>
            <w:tcW w:w="760" w:type="dxa"/>
            <w:tcBorders>
              <w:top w:val="single" w:sz="8" w:space="0" w:color="auto"/>
              <w:left w:val="single" w:sz="8" w:space="0" w:color="auto"/>
              <w:bottom w:val="single" w:sz="8" w:space="0" w:color="auto"/>
              <w:right w:val="single" w:sz="8" w:space="0" w:color="auto"/>
            </w:tcBorders>
            <w:shd w:val="clear" w:color="000000" w:fill="FCE4D6"/>
            <w:noWrap/>
            <w:vAlign w:val="bottom"/>
            <w:hideMark/>
          </w:tcPr>
          <w:p w14:paraId="6CFFDBB5" w14:textId="7A14E1C1" w:rsidR="000B107A" w:rsidRPr="000B107A" w:rsidRDefault="00443ED4" w:rsidP="000B107A">
            <w:pPr>
              <w:spacing w:after="0" w:line="240" w:lineRule="auto"/>
              <w:jc w:val="right"/>
              <w:rPr>
                <w:rFonts w:ascii="Calibri" w:eastAsia="Times New Roman" w:hAnsi="Calibri" w:cs="Calibri"/>
                <w:b/>
                <w:bCs/>
                <w:color w:val="000000"/>
                <w:sz w:val="22"/>
                <w:lang w:eastAsia="en-GB"/>
              </w:rPr>
            </w:pPr>
            <w:r>
              <w:rPr>
                <w:rFonts w:ascii="Calibri" w:eastAsia="Times New Roman" w:hAnsi="Calibri" w:cs="Calibri"/>
                <w:b/>
                <w:bCs/>
                <w:color w:val="000000"/>
                <w:sz w:val="22"/>
                <w:lang w:eastAsia="en-GB"/>
              </w:rPr>
              <w:t>536,776</w:t>
            </w:r>
          </w:p>
        </w:tc>
        <w:tc>
          <w:tcPr>
            <w:tcW w:w="2960" w:type="dxa"/>
            <w:tcBorders>
              <w:top w:val="nil"/>
              <w:left w:val="nil"/>
              <w:bottom w:val="nil"/>
              <w:right w:val="nil"/>
            </w:tcBorders>
            <w:noWrap/>
            <w:vAlign w:val="bottom"/>
            <w:hideMark/>
          </w:tcPr>
          <w:p w14:paraId="2E9CADFC" w14:textId="77777777" w:rsidR="000B107A" w:rsidRPr="000B107A" w:rsidRDefault="000B107A" w:rsidP="000B107A">
            <w:pPr>
              <w:spacing w:after="0" w:line="240" w:lineRule="auto"/>
              <w:jc w:val="right"/>
              <w:rPr>
                <w:rFonts w:ascii="Calibri" w:eastAsia="Times New Roman" w:hAnsi="Calibri" w:cs="Calibri"/>
                <w:b/>
                <w:bCs/>
                <w:color w:val="000000"/>
                <w:sz w:val="22"/>
                <w:lang w:eastAsia="en-GB"/>
              </w:rPr>
            </w:pPr>
          </w:p>
        </w:tc>
      </w:tr>
      <w:tr w:rsidR="000B107A" w:rsidRPr="000B107A" w14:paraId="147C22C7" w14:textId="77777777" w:rsidTr="000B107A">
        <w:trPr>
          <w:trHeight w:val="288"/>
        </w:trPr>
        <w:tc>
          <w:tcPr>
            <w:tcW w:w="4620" w:type="dxa"/>
            <w:tcBorders>
              <w:top w:val="nil"/>
              <w:left w:val="nil"/>
              <w:bottom w:val="nil"/>
              <w:right w:val="nil"/>
            </w:tcBorders>
            <w:noWrap/>
            <w:vAlign w:val="bottom"/>
            <w:hideMark/>
          </w:tcPr>
          <w:p w14:paraId="54422B66" w14:textId="77777777" w:rsidR="000B107A" w:rsidRPr="000B107A" w:rsidRDefault="000B107A" w:rsidP="000B107A">
            <w:pPr>
              <w:spacing w:after="0" w:line="240" w:lineRule="auto"/>
              <w:rPr>
                <w:rFonts w:ascii="Times New Roman" w:eastAsia="Times New Roman" w:hAnsi="Times New Roman" w:cs="Times New Roman"/>
                <w:szCs w:val="20"/>
                <w:lang w:eastAsia="en-GB"/>
              </w:rPr>
            </w:pPr>
          </w:p>
        </w:tc>
        <w:tc>
          <w:tcPr>
            <w:tcW w:w="760" w:type="dxa"/>
            <w:tcBorders>
              <w:top w:val="nil"/>
              <w:left w:val="nil"/>
              <w:bottom w:val="nil"/>
              <w:right w:val="nil"/>
            </w:tcBorders>
            <w:noWrap/>
            <w:vAlign w:val="bottom"/>
            <w:hideMark/>
          </w:tcPr>
          <w:p w14:paraId="0987CF89" w14:textId="77777777" w:rsidR="000B107A" w:rsidRPr="000B107A" w:rsidRDefault="000B107A" w:rsidP="000B107A">
            <w:pPr>
              <w:spacing w:after="0" w:line="240" w:lineRule="auto"/>
              <w:rPr>
                <w:rFonts w:ascii="Times New Roman" w:eastAsia="Times New Roman" w:hAnsi="Times New Roman" w:cs="Times New Roman"/>
                <w:szCs w:val="20"/>
                <w:lang w:eastAsia="en-GB"/>
              </w:rPr>
            </w:pPr>
          </w:p>
        </w:tc>
        <w:tc>
          <w:tcPr>
            <w:tcW w:w="2960" w:type="dxa"/>
            <w:tcBorders>
              <w:top w:val="nil"/>
              <w:left w:val="nil"/>
              <w:bottom w:val="nil"/>
              <w:right w:val="nil"/>
            </w:tcBorders>
            <w:noWrap/>
            <w:vAlign w:val="bottom"/>
            <w:hideMark/>
          </w:tcPr>
          <w:p w14:paraId="3A316854" w14:textId="77777777" w:rsidR="000B107A" w:rsidRPr="000B107A" w:rsidRDefault="000B107A" w:rsidP="000B107A">
            <w:pPr>
              <w:spacing w:after="0" w:line="240" w:lineRule="auto"/>
              <w:rPr>
                <w:rFonts w:ascii="Times New Roman" w:eastAsia="Times New Roman" w:hAnsi="Times New Roman" w:cs="Times New Roman"/>
                <w:szCs w:val="20"/>
                <w:lang w:eastAsia="en-GB"/>
              </w:rPr>
            </w:pPr>
          </w:p>
        </w:tc>
      </w:tr>
      <w:tr w:rsidR="000B107A" w:rsidRPr="000B107A" w14:paraId="205B8398" w14:textId="77777777" w:rsidTr="000B107A">
        <w:trPr>
          <w:trHeight w:val="288"/>
        </w:trPr>
        <w:tc>
          <w:tcPr>
            <w:tcW w:w="4620" w:type="dxa"/>
            <w:tcBorders>
              <w:top w:val="nil"/>
              <w:left w:val="nil"/>
              <w:bottom w:val="nil"/>
              <w:right w:val="nil"/>
            </w:tcBorders>
            <w:shd w:val="clear" w:color="000000" w:fill="B4C6E7"/>
            <w:noWrap/>
            <w:vAlign w:val="bottom"/>
            <w:hideMark/>
          </w:tcPr>
          <w:p w14:paraId="794EF1F9" w14:textId="77777777" w:rsidR="000B107A" w:rsidRPr="000B107A" w:rsidRDefault="000B107A" w:rsidP="000B107A">
            <w:pPr>
              <w:spacing w:after="0" w:line="240" w:lineRule="auto"/>
              <w:rPr>
                <w:rFonts w:ascii="Calibri" w:eastAsia="Times New Roman" w:hAnsi="Calibri" w:cs="Calibri"/>
                <w:color w:val="000000"/>
                <w:sz w:val="22"/>
                <w:lang w:eastAsia="en-GB"/>
              </w:rPr>
            </w:pPr>
            <w:r w:rsidRPr="000B107A">
              <w:rPr>
                <w:rFonts w:ascii="Calibri" w:eastAsia="Times New Roman" w:hAnsi="Calibri" w:cs="Calibri"/>
                <w:color w:val="000000"/>
                <w:sz w:val="22"/>
                <w:lang w:eastAsia="en-GB"/>
              </w:rPr>
              <w:t>Total Number of Clients</w:t>
            </w:r>
          </w:p>
        </w:tc>
        <w:tc>
          <w:tcPr>
            <w:tcW w:w="760" w:type="dxa"/>
            <w:tcBorders>
              <w:top w:val="nil"/>
              <w:left w:val="nil"/>
              <w:bottom w:val="nil"/>
              <w:right w:val="nil"/>
            </w:tcBorders>
            <w:shd w:val="clear" w:color="000000" w:fill="FCE4D6"/>
            <w:noWrap/>
            <w:vAlign w:val="bottom"/>
            <w:hideMark/>
          </w:tcPr>
          <w:p w14:paraId="64A5DACF" w14:textId="7A64DFA5" w:rsidR="000B107A" w:rsidRPr="000B107A" w:rsidRDefault="00443ED4" w:rsidP="000B107A">
            <w:pPr>
              <w:spacing w:after="0" w:line="240" w:lineRule="auto"/>
              <w:jc w:val="right"/>
              <w:rPr>
                <w:rFonts w:ascii="Calibri" w:eastAsia="Times New Roman" w:hAnsi="Calibri" w:cs="Calibri"/>
                <w:color w:val="000000"/>
                <w:sz w:val="22"/>
                <w:lang w:eastAsia="en-GB"/>
              </w:rPr>
            </w:pPr>
            <w:r>
              <w:rPr>
                <w:rFonts w:ascii="Calibri" w:eastAsia="Times New Roman" w:hAnsi="Calibri" w:cs="Calibri"/>
                <w:color w:val="000000"/>
                <w:sz w:val="22"/>
                <w:lang w:eastAsia="en-GB"/>
              </w:rPr>
              <w:t>19</w:t>
            </w:r>
            <w:r w:rsidR="000B107A" w:rsidRPr="000B107A">
              <w:rPr>
                <w:rFonts w:ascii="Calibri" w:eastAsia="Times New Roman" w:hAnsi="Calibri" w:cs="Calibri"/>
                <w:color w:val="000000"/>
                <w:sz w:val="22"/>
                <w:lang w:eastAsia="en-GB"/>
              </w:rPr>
              <w:t>0</w:t>
            </w:r>
          </w:p>
        </w:tc>
        <w:tc>
          <w:tcPr>
            <w:tcW w:w="2960" w:type="dxa"/>
            <w:tcBorders>
              <w:top w:val="nil"/>
              <w:left w:val="nil"/>
              <w:bottom w:val="nil"/>
              <w:right w:val="nil"/>
            </w:tcBorders>
            <w:noWrap/>
            <w:vAlign w:val="bottom"/>
            <w:hideMark/>
          </w:tcPr>
          <w:p w14:paraId="49C8330E" w14:textId="77777777" w:rsidR="000B107A" w:rsidRPr="000B107A" w:rsidRDefault="000B107A" w:rsidP="000B107A">
            <w:pPr>
              <w:spacing w:after="0" w:line="240" w:lineRule="auto"/>
              <w:jc w:val="right"/>
              <w:rPr>
                <w:rFonts w:ascii="Calibri" w:eastAsia="Times New Roman" w:hAnsi="Calibri" w:cs="Calibri"/>
                <w:color w:val="000000"/>
                <w:sz w:val="22"/>
                <w:lang w:eastAsia="en-GB"/>
              </w:rPr>
            </w:pPr>
          </w:p>
        </w:tc>
      </w:tr>
      <w:tr w:rsidR="000B107A" w:rsidRPr="000B107A" w14:paraId="1C437A9B" w14:textId="77777777" w:rsidTr="000B107A">
        <w:trPr>
          <w:trHeight w:val="288"/>
        </w:trPr>
        <w:tc>
          <w:tcPr>
            <w:tcW w:w="4620" w:type="dxa"/>
            <w:tcBorders>
              <w:top w:val="nil"/>
              <w:left w:val="nil"/>
              <w:bottom w:val="nil"/>
              <w:right w:val="nil"/>
            </w:tcBorders>
            <w:noWrap/>
            <w:vAlign w:val="bottom"/>
            <w:hideMark/>
          </w:tcPr>
          <w:p w14:paraId="71D41A15" w14:textId="77777777" w:rsidR="000B107A" w:rsidRPr="000B107A" w:rsidRDefault="000B107A" w:rsidP="000B107A">
            <w:pPr>
              <w:spacing w:after="0" w:line="240" w:lineRule="auto"/>
              <w:rPr>
                <w:rFonts w:ascii="Times New Roman" w:eastAsia="Times New Roman" w:hAnsi="Times New Roman" w:cs="Times New Roman"/>
                <w:szCs w:val="20"/>
                <w:lang w:eastAsia="en-GB"/>
              </w:rPr>
            </w:pPr>
          </w:p>
        </w:tc>
        <w:tc>
          <w:tcPr>
            <w:tcW w:w="760" w:type="dxa"/>
            <w:tcBorders>
              <w:top w:val="nil"/>
              <w:left w:val="nil"/>
              <w:bottom w:val="nil"/>
              <w:right w:val="nil"/>
            </w:tcBorders>
            <w:noWrap/>
            <w:vAlign w:val="bottom"/>
            <w:hideMark/>
          </w:tcPr>
          <w:p w14:paraId="70F99CD9" w14:textId="77777777" w:rsidR="000B107A" w:rsidRPr="000B107A" w:rsidRDefault="000B107A" w:rsidP="000B107A">
            <w:pPr>
              <w:spacing w:after="0" w:line="240" w:lineRule="auto"/>
              <w:rPr>
                <w:rFonts w:ascii="Times New Roman" w:eastAsia="Times New Roman" w:hAnsi="Times New Roman" w:cs="Times New Roman"/>
                <w:szCs w:val="20"/>
                <w:lang w:eastAsia="en-GB"/>
              </w:rPr>
            </w:pPr>
          </w:p>
        </w:tc>
        <w:tc>
          <w:tcPr>
            <w:tcW w:w="2960" w:type="dxa"/>
            <w:tcBorders>
              <w:top w:val="nil"/>
              <w:left w:val="nil"/>
              <w:bottom w:val="nil"/>
              <w:right w:val="nil"/>
            </w:tcBorders>
            <w:noWrap/>
            <w:vAlign w:val="bottom"/>
            <w:hideMark/>
          </w:tcPr>
          <w:p w14:paraId="33032F89" w14:textId="77777777" w:rsidR="000B107A" w:rsidRPr="000B107A" w:rsidRDefault="000B107A" w:rsidP="000B107A">
            <w:pPr>
              <w:spacing w:after="0" w:line="240" w:lineRule="auto"/>
              <w:rPr>
                <w:rFonts w:ascii="Times New Roman" w:eastAsia="Times New Roman" w:hAnsi="Times New Roman" w:cs="Times New Roman"/>
                <w:szCs w:val="20"/>
                <w:lang w:eastAsia="en-GB"/>
              </w:rPr>
            </w:pPr>
          </w:p>
        </w:tc>
      </w:tr>
      <w:tr w:rsidR="000B107A" w:rsidRPr="000B107A" w14:paraId="0B0572DF" w14:textId="77777777" w:rsidTr="000B107A">
        <w:trPr>
          <w:trHeight w:val="516"/>
        </w:trPr>
        <w:tc>
          <w:tcPr>
            <w:tcW w:w="4620" w:type="dxa"/>
            <w:tcBorders>
              <w:top w:val="nil"/>
              <w:left w:val="nil"/>
              <w:bottom w:val="nil"/>
              <w:right w:val="nil"/>
            </w:tcBorders>
            <w:noWrap/>
            <w:vAlign w:val="bottom"/>
            <w:hideMark/>
          </w:tcPr>
          <w:p w14:paraId="63C34BFF" w14:textId="77777777" w:rsidR="000B107A" w:rsidRPr="000B107A" w:rsidRDefault="000B107A" w:rsidP="000B107A">
            <w:pPr>
              <w:spacing w:after="0" w:line="240" w:lineRule="auto"/>
              <w:rPr>
                <w:rFonts w:ascii="Calibri" w:eastAsia="Times New Roman" w:hAnsi="Calibri" w:cs="Calibri"/>
                <w:b/>
                <w:bCs/>
                <w:color w:val="000000"/>
                <w:sz w:val="22"/>
                <w:lang w:eastAsia="en-GB"/>
              </w:rPr>
            </w:pPr>
            <w:r w:rsidRPr="000B107A">
              <w:rPr>
                <w:rFonts w:ascii="Calibri" w:eastAsia="Times New Roman" w:hAnsi="Calibri" w:cs="Calibri"/>
                <w:b/>
                <w:bCs/>
                <w:color w:val="000000"/>
                <w:sz w:val="22"/>
                <w:lang w:eastAsia="en-GB"/>
              </w:rPr>
              <w:t>Average Cost Per Annum</w:t>
            </w:r>
          </w:p>
        </w:tc>
        <w:tc>
          <w:tcPr>
            <w:tcW w:w="3720" w:type="dxa"/>
            <w:gridSpan w:val="2"/>
            <w:tcBorders>
              <w:top w:val="nil"/>
              <w:left w:val="single" w:sz="4" w:space="0" w:color="auto"/>
              <w:bottom w:val="single" w:sz="4" w:space="0" w:color="auto"/>
              <w:right w:val="single" w:sz="4" w:space="0" w:color="000000"/>
            </w:tcBorders>
            <w:shd w:val="clear" w:color="000000" w:fill="ED7D31"/>
            <w:noWrap/>
            <w:vAlign w:val="center"/>
            <w:hideMark/>
          </w:tcPr>
          <w:p w14:paraId="56475E9C" w14:textId="76EBCCA1" w:rsidR="000B107A" w:rsidRPr="000B107A" w:rsidRDefault="000B107A" w:rsidP="000B107A">
            <w:pPr>
              <w:spacing w:after="0" w:line="240" w:lineRule="auto"/>
              <w:jc w:val="center"/>
              <w:rPr>
                <w:rFonts w:ascii="Calibri" w:eastAsia="Times New Roman" w:hAnsi="Calibri" w:cs="Calibri"/>
                <w:b/>
                <w:bCs/>
                <w:color w:val="FFFFFF"/>
                <w:sz w:val="40"/>
                <w:szCs w:val="40"/>
                <w:lang w:eastAsia="en-GB"/>
              </w:rPr>
            </w:pPr>
            <w:r w:rsidRPr="000B107A">
              <w:rPr>
                <w:rFonts w:ascii="Calibri" w:eastAsia="Times New Roman" w:hAnsi="Calibri" w:cs="Calibri"/>
                <w:b/>
                <w:bCs/>
                <w:color w:val="FFFFFF"/>
                <w:sz w:val="40"/>
                <w:szCs w:val="40"/>
                <w:lang w:eastAsia="en-GB"/>
              </w:rPr>
              <w:t>£2,</w:t>
            </w:r>
            <w:r w:rsidR="00443ED4">
              <w:rPr>
                <w:rFonts w:ascii="Calibri" w:eastAsia="Times New Roman" w:hAnsi="Calibri" w:cs="Calibri"/>
                <w:b/>
                <w:bCs/>
                <w:color w:val="FFFFFF"/>
                <w:sz w:val="40"/>
                <w:szCs w:val="40"/>
                <w:lang w:eastAsia="en-GB"/>
              </w:rPr>
              <w:t>825</w:t>
            </w:r>
          </w:p>
        </w:tc>
      </w:tr>
      <w:tr w:rsidR="000B107A" w:rsidRPr="000B107A" w14:paraId="3B60ABCB" w14:textId="77777777" w:rsidTr="000B107A">
        <w:trPr>
          <w:trHeight w:val="288"/>
        </w:trPr>
        <w:tc>
          <w:tcPr>
            <w:tcW w:w="4620" w:type="dxa"/>
            <w:tcBorders>
              <w:top w:val="nil"/>
              <w:left w:val="nil"/>
              <w:bottom w:val="nil"/>
              <w:right w:val="nil"/>
            </w:tcBorders>
            <w:noWrap/>
            <w:vAlign w:val="bottom"/>
            <w:hideMark/>
          </w:tcPr>
          <w:p w14:paraId="6B149393" w14:textId="77777777" w:rsidR="000B107A" w:rsidRPr="000B107A" w:rsidRDefault="000B107A" w:rsidP="000B107A">
            <w:pPr>
              <w:spacing w:after="0" w:line="240" w:lineRule="auto"/>
              <w:jc w:val="center"/>
              <w:rPr>
                <w:rFonts w:ascii="Calibri" w:eastAsia="Times New Roman" w:hAnsi="Calibri" w:cs="Calibri"/>
                <w:b/>
                <w:bCs/>
                <w:color w:val="FFFFFF"/>
                <w:sz w:val="40"/>
                <w:szCs w:val="40"/>
                <w:lang w:eastAsia="en-GB"/>
              </w:rPr>
            </w:pPr>
          </w:p>
        </w:tc>
        <w:tc>
          <w:tcPr>
            <w:tcW w:w="760" w:type="dxa"/>
            <w:tcBorders>
              <w:top w:val="nil"/>
              <w:left w:val="nil"/>
              <w:bottom w:val="nil"/>
              <w:right w:val="nil"/>
            </w:tcBorders>
            <w:noWrap/>
            <w:vAlign w:val="bottom"/>
            <w:hideMark/>
          </w:tcPr>
          <w:p w14:paraId="0F6E61F2" w14:textId="77777777" w:rsidR="000B107A" w:rsidRPr="000B107A" w:rsidRDefault="000B107A" w:rsidP="000B107A">
            <w:pPr>
              <w:spacing w:after="0" w:line="240" w:lineRule="auto"/>
              <w:rPr>
                <w:rFonts w:ascii="Times New Roman" w:eastAsia="Times New Roman" w:hAnsi="Times New Roman" w:cs="Times New Roman"/>
                <w:szCs w:val="20"/>
                <w:lang w:eastAsia="en-GB"/>
              </w:rPr>
            </w:pPr>
          </w:p>
        </w:tc>
        <w:tc>
          <w:tcPr>
            <w:tcW w:w="2960" w:type="dxa"/>
            <w:tcBorders>
              <w:top w:val="nil"/>
              <w:left w:val="nil"/>
              <w:bottom w:val="nil"/>
              <w:right w:val="nil"/>
            </w:tcBorders>
            <w:noWrap/>
            <w:vAlign w:val="bottom"/>
            <w:hideMark/>
          </w:tcPr>
          <w:p w14:paraId="18B037FD" w14:textId="77777777" w:rsidR="000B107A" w:rsidRPr="000B107A" w:rsidRDefault="000B107A" w:rsidP="000B107A">
            <w:pPr>
              <w:spacing w:after="0" w:line="240" w:lineRule="auto"/>
              <w:rPr>
                <w:rFonts w:ascii="Times New Roman" w:eastAsia="Times New Roman" w:hAnsi="Times New Roman" w:cs="Times New Roman"/>
                <w:szCs w:val="20"/>
                <w:lang w:eastAsia="en-GB"/>
              </w:rPr>
            </w:pPr>
          </w:p>
        </w:tc>
      </w:tr>
      <w:tr w:rsidR="000B107A" w:rsidRPr="000B107A" w14:paraId="321A712B" w14:textId="77777777" w:rsidTr="000B107A">
        <w:trPr>
          <w:trHeight w:val="288"/>
        </w:trPr>
        <w:tc>
          <w:tcPr>
            <w:tcW w:w="4620" w:type="dxa"/>
            <w:tcBorders>
              <w:top w:val="nil"/>
              <w:left w:val="nil"/>
              <w:bottom w:val="nil"/>
              <w:right w:val="nil"/>
            </w:tcBorders>
            <w:shd w:val="clear" w:color="000000" w:fill="B4C6E7"/>
            <w:noWrap/>
            <w:vAlign w:val="bottom"/>
            <w:hideMark/>
          </w:tcPr>
          <w:p w14:paraId="06AB5E25" w14:textId="77777777" w:rsidR="000B107A" w:rsidRPr="000B107A" w:rsidRDefault="000B107A" w:rsidP="000B107A">
            <w:pPr>
              <w:spacing w:after="0" w:line="240" w:lineRule="auto"/>
              <w:rPr>
                <w:rFonts w:ascii="Calibri" w:eastAsia="Times New Roman" w:hAnsi="Calibri" w:cs="Calibri"/>
                <w:color w:val="000000"/>
                <w:sz w:val="22"/>
                <w:lang w:eastAsia="en-GB"/>
              </w:rPr>
            </w:pPr>
            <w:r w:rsidRPr="000B107A">
              <w:rPr>
                <w:rFonts w:ascii="Calibri" w:eastAsia="Times New Roman" w:hAnsi="Calibri" w:cs="Calibri"/>
                <w:color w:val="000000"/>
                <w:sz w:val="22"/>
                <w:lang w:eastAsia="en-GB"/>
              </w:rPr>
              <w:t>Average Management Fee</w:t>
            </w:r>
          </w:p>
        </w:tc>
        <w:tc>
          <w:tcPr>
            <w:tcW w:w="760" w:type="dxa"/>
            <w:tcBorders>
              <w:top w:val="nil"/>
              <w:left w:val="nil"/>
              <w:bottom w:val="nil"/>
              <w:right w:val="nil"/>
            </w:tcBorders>
            <w:shd w:val="clear" w:color="000000" w:fill="FCE4D6"/>
            <w:noWrap/>
            <w:vAlign w:val="bottom"/>
            <w:hideMark/>
          </w:tcPr>
          <w:p w14:paraId="77476B48" w14:textId="104A0CCC" w:rsidR="000B107A" w:rsidRPr="000B107A" w:rsidRDefault="00443ED4" w:rsidP="000B107A">
            <w:pPr>
              <w:spacing w:after="0" w:line="240" w:lineRule="auto"/>
              <w:jc w:val="right"/>
              <w:rPr>
                <w:rFonts w:ascii="Calibri" w:eastAsia="Times New Roman" w:hAnsi="Calibri" w:cs="Calibri"/>
                <w:color w:val="000000"/>
                <w:sz w:val="22"/>
                <w:lang w:eastAsia="en-GB"/>
              </w:rPr>
            </w:pPr>
            <w:r>
              <w:rPr>
                <w:rFonts w:ascii="Calibri" w:eastAsia="Times New Roman" w:hAnsi="Calibri" w:cs="Calibri"/>
                <w:color w:val="000000"/>
                <w:sz w:val="22"/>
                <w:lang w:eastAsia="en-GB"/>
              </w:rPr>
              <w:t>19</w:t>
            </w:r>
            <w:r w:rsidR="000B107A" w:rsidRPr="000B107A">
              <w:rPr>
                <w:rFonts w:ascii="Calibri" w:eastAsia="Times New Roman" w:hAnsi="Calibri" w:cs="Calibri"/>
                <w:color w:val="000000"/>
                <w:sz w:val="22"/>
                <w:lang w:eastAsia="en-GB"/>
              </w:rPr>
              <w:t>00</w:t>
            </w:r>
          </w:p>
        </w:tc>
        <w:tc>
          <w:tcPr>
            <w:tcW w:w="2960" w:type="dxa"/>
            <w:tcBorders>
              <w:top w:val="nil"/>
              <w:left w:val="nil"/>
              <w:bottom w:val="nil"/>
              <w:right w:val="nil"/>
            </w:tcBorders>
            <w:noWrap/>
            <w:vAlign w:val="bottom"/>
            <w:hideMark/>
          </w:tcPr>
          <w:p w14:paraId="09EBB20E" w14:textId="297F176B" w:rsidR="000B107A" w:rsidRPr="000B107A" w:rsidRDefault="000B107A" w:rsidP="000B107A">
            <w:pPr>
              <w:spacing w:after="0" w:line="240" w:lineRule="auto"/>
              <w:rPr>
                <w:rFonts w:ascii="Calibri" w:eastAsia="Times New Roman" w:hAnsi="Calibri" w:cs="Calibri"/>
                <w:color w:val="000000"/>
                <w:sz w:val="22"/>
                <w:lang w:eastAsia="en-GB"/>
              </w:rPr>
            </w:pPr>
            <w:r w:rsidRPr="000B107A">
              <w:rPr>
                <w:rFonts w:ascii="Calibri" w:eastAsia="Times New Roman" w:hAnsi="Calibri" w:cs="Calibri"/>
                <w:color w:val="000000"/>
                <w:sz w:val="22"/>
                <w:lang w:eastAsia="en-GB"/>
              </w:rPr>
              <w:t>Revenue £</w:t>
            </w:r>
            <w:r w:rsidR="00443ED4">
              <w:rPr>
                <w:rFonts w:ascii="Calibri" w:eastAsia="Times New Roman" w:hAnsi="Calibri" w:cs="Calibri"/>
                <w:color w:val="000000"/>
                <w:sz w:val="22"/>
                <w:lang w:eastAsia="en-GB"/>
              </w:rPr>
              <w:t>367</w:t>
            </w:r>
            <w:r w:rsidRPr="000B107A">
              <w:rPr>
                <w:rFonts w:ascii="Calibri" w:eastAsia="Times New Roman" w:hAnsi="Calibri" w:cs="Calibri"/>
                <w:color w:val="000000"/>
                <w:sz w:val="22"/>
                <w:lang w:eastAsia="en-GB"/>
              </w:rPr>
              <w:t>k + VAT</w:t>
            </w:r>
          </w:p>
        </w:tc>
      </w:tr>
      <w:tr w:rsidR="000B107A" w:rsidRPr="000B107A" w14:paraId="6A6677B1" w14:textId="77777777" w:rsidTr="000B107A">
        <w:trPr>
          <w:trHeight w:val="288"/>
        </w:trPr>
        <w:tc>
          <w:tcPr>
            <w:tcW w:w="4620" w:type="dxa"/>
            <w:tcBorders>
              <w:top w:val="nil"/>
              <w:left w:val="nil"/>
              <w:bottom w:val="nil"/>
              <w:right w:val="nil"/>
            </w:tcBorders>
            <w:shd w:val="clear" w:color="000000" w:fill="B4C6E7"/>
            <w:noWrap/>
            <w:vAlign w:val="bottom"/>
            <w:hideMark/>
          </w:tcPr>
          <w:p w14:paraId="3B744D4C" w14:textId="77777777" w:rsidR="000B107A" w:rsidRPr="000B107A" w:rsidRDefault="000B107A" w:rsidP="000B107A">
            <w:pPr>
              <w:spacing w:after="0" w:line="240" w:lineRule="auto"/>
              <w:rPr>
                <w:rFonts w:ascii="Calibri" w:eastAsia="Times New Roman" w:hAnsi="Calibri" w:cs="Calibri"/>
                <w:color w:val="000000"/>
                <w:sz w:val="22"/>
                <w:lang w:eastAsia="en-GB"/>
              </w:rPr>
            </w:pPr>
            <w:r w:rsidRPr="000B107A">
              <w:rPr>
                <w:rFonts w:ascii="Calibri" w:eastAsia="Times New Roman" w:hAnsi="Calibri" w:cs="Calibri"/>
                <w:color w:val="000000"/>
                <w:sz w:val="22"/>
                <w:lang w:eastAsia="en-GB"/>
              </w:rPr>
              <w:t>Average Transaction Commission and Dealing Cost</w:t>
            </w:r>
          </w:p>
        </w:tc>
        <w:tc>
          <w:tcPr>
            <w:tcW w:w="760" w:type="dxa"/>
            <w:tcBorders>
              <w:top w:val="nil"/>
              <w:left w:val="nil"/>
              <w:bottom w:val="nil"/>
              <w:right w:val="nil"/>
            </w:tcBorders>
            <w:shd w:val="clear" w:color="000000" w:fill="FCE4D6"/>
            <w:noWrap/>
            <w:vAlign w:val="bottom"/>
            <w:hideMark/>
          </w:tcPr>
          <w:p w14:paraId="77C62BCE" w14:textId="7131F755" w:rsidR="000B107A" w:rsidRPr="000B107A" w:rsidRDefault="000B107A" w:rsidP="000B107A">
            <w:pPr>
              <w:spacing w:after="0" w:line="240" w:lineRule="auto"/>
              <w:jc w:val="right"/>
              <w:rPr>
                <w:rFonts w:ascii="Calibri" w:eastAsia="Times New Roman" w:hAnsi="Calibri" w:cs="Calibri"/>
                <w:color w:val="000000"/>
                <w:sz w:val="22"/>
                <w:lang w:eastAsia="en-GB"/>
              </w:rPr>
            </w:pPr>
            <w:r w:rsidRPr="000B107A">
              <w:rPr>
                <w:rFonts w:ascii="Calibri" w:eastAsia="Times New Roman" w:hAnsi="Calibri" w:cs="Calibri"/>
                <w:color w:val="000000"/>
                <w:sz w:val="22"/>
                <w:lang w:eastAsia="en-GB"/>
              </w:rPr>
              <w:t>1</w:t>
            </w:r>
            <w:r w:rsidR="00443ED4">
              <w:rPr>
                <w:rFonts w:ascii="Calibri" w:eastAsia="Times New Roman" w:hAnsi="Calibri" w:cs="Calibri"/>
                <w:color w:val="000000"/>
                <w:sz w:val="22"/>
                <w:lang w:eastAsia="en-GB"/>
              </w:rPr>
              <w:t>3</w:t>
            </w:r>
            <w:r w:rsidRPr="000B107A">
              <w:rPr>
                <w:rFonts w:ascii="Calibri" w:eastAsia="Times New Roman" w:hAnsi="Calibri" w:cs="Calibri"/>
                <w:color w:val="000000"/>
                <w:sz w:val="22"/>
                <w:lang w:eastAsia="en-GB"/>
              </w:rPr>
              <w:t>00</w:t>
            </w:r>
          </w:p>
        </w:tc>
        <w:tc>
          <w:tcPr>
            <w:tcW w:w="2960" w:type="dxa"/>
            <w:tcBorders>
              <w:top w:val="nil"/>
              <w:left w:val="nil"/>
              <w:bottom w:val="nil"/>
              <w:right w:val="nil"/>
            </w:tcBorders>
            <w:noWrap/>
            <w:vAlign w:val="bottom"/>
            <w:hideMark/>
          </w:tcPr>
          <w:p w14:paraId="088B7DD1" w14:textId="0BA0C56E" w:rsidR="000B107A" w:rsidRPr="000B107A" w:rsidRDefault="000B107A" w:rsidP="000B107A">
            <w:pPr>
              <w:spacing w:after="0" w:line="240" w:lineRule="auto"/>
              <w:rPr>
                <w:rFonts w:ascii="Calibri" w:eastAsia="Times New Roman" w:hAnsi="Calibri" w:cs="Calibri"/>
                <w:color w:val="000000"/>
                <w:sz w:val="22"/>
                <w:lang w:eastAsia="en-GB"/>
              </w:rPr>
            </w:pPr>
            <w:r w:rsidRPr="000B107A">
              <w:rPr>
                <w:rFonts w:ascii="Calibri" w:eastAsia="Times New Roman" w:hAnsi="Calibri" w:cs="Calibri"/>
                <w:color w:val="000000"/>
                <w:sz w:val="22"/>
                <w:lang w:eastAsia="en-GB"/>
              </w:rPr>
              <w:t>£2</w:t>
            </w:r>
            <w:r w:rsidR="00443ED4">
              <w:rPr>
                <w:rFonts w:ascii="Calibri" w:eastAsia="Times New Roman" w:hAnsi="Calibri" w:cs="Calibri"/>
                <w:color w:val="000000"/>
                <w:sz w:val="22"/>
                <w:lang w:eastAsia="en-GB"/>
              </w:rPr>
              <w:t>48</w:t>
            </w:r>
            <w:r w:rsidRPr="000B107A">
              <w:rPr>
                <w:rFonts w:ascii="Calibri" w:eastAsia="Times New Roman" w:hAnsi="Calibri" w:cs="Calibri"/>
                <w:color w:val="000000"/>
                <w:sz w:val="22"/>
                <w:lang w:eastAsia="en-GB"/>
              </w:rPr>
              <w:t>k</w:t>
            </w:r>
          </w:p>
        </w:tc>
      </w:tr>
      <w:tr w:rsidR="000B107A" w:rsidRPr="000B107A" w14:paraId="12AB136B" w14:textId="77777777" w:rsidTr="000B107A">
        <w:trPr>
          <w:trHeight w:val="300"/>
        </w:trPr>
        <w:tc>
          <w:tcPr>
            <w:tcW w:w="4620" w:type="dxa"/>
            <w:tcBorders>
              <w:top w:val="nil"/>
              <w:left w:val="nil"/>
              <w:bottom w:val="nil"/>
              <w:right w:val="nil"/>
            </w:tcBorders>
            <w:shd w:val="clear" w:color="000000" w:fill="B4C6E7"/>
            <w:noWrap/>
            <w:vAlign w:val="bottom"/>
            <w:hideMark/>
          </w:tcPr>
          <w:p w14:paraId="780AA70D" w14:textId="77777777" w:rsidR="000B107A" w:rsidRPr="000B107A" w:rsidRDefault="000B107A" w:rsidP="000B107A">
            <w:pPr>
              <w:spacing w:after="0" w:line="240" w:lineRule="auto"/>
              <w:rPr>
                <w:rFonts w:ascii="Calibri" w:eastAsia="Times New Roman" w:hAnsi="Calibri" w:cs="Calibri"/>
                <w:color w:val="000000"/>
                <w:sz w:val="22"/>
                <w:lang w:eastAsia="en-GB"/>
              </w:rPr>
            </w:pPr>
            <w:r w:rsidRPr="000B107A">
              <w:rPr>
                <w:rFonts w:ascii="Calibri" w:eastAsia="Times New Roman" w:hAnsi="Calibri" w:cs="Calibri"/>
                <w:color w:val="000000"/>
                <w:sz w:val="22"/>
                <w:lang w:eastAsia="en-GB"/>
              </w:rPr>
              <w:t> </w:t>
            </w:r>
          </w:p>
        </w:tc>
        <w:tc>
          <w:tcPr>
            <w:tcW w:w="760" w:type="dxa"/>
            <w:tcBorders>
              <w:top w:val="nil"/>
              <w:left w:val="nil"/>
              <w:bottom w:val="nil"/>
              <w:right w:val="nil"/>
            </w:tcBorders>
            <w:shd w:val="clear" w:color="000000" w:fill="FCE4D6"/>
            <w:noWrap/>
            <w:vAlign w:val="bottom"/>
            <w:hideMark/>
          </w:tcPr>
          <w:p w14:paraId="4BB79130" w14:textId="77777777" w:rsidR="000B107A" w:rsidRPr="000B107A" w:rsidRDefault="000B107A" w:rsidP="000B107A">
            <w:pPr>
              <w:spacing w:after="0" w:line="240" w:lineRule="auto"/>
              <w:rPr>
                <w:rFonts w:ascii="Calibri" w:eastAsia="Times New Roman" w:hAnsi="Calibri" w:cs="Calibri"/>
                <w:color w:val="000000"/>
                <w:sz w:val="22"/>
                <w:lang w:eastAsia="en-GB"/>
              </w:rPr>
            </w:pPr>
            <w:r w:rsidRPr="000B107A">
              <w:rPr>
                <w:rFonts w:ascii="Calibri" w:eastAsia="Times New Roman" w:hAnsi="Calibri" w:cs="Calibri"/>
                <w:color w:val="000000"/>
                <w:sz w:val="22"/>
                <w:lang w:eastAsia="en-GB"/>
              </w:rPr>
              <w:t> </w:t>
            </w:r>
          </w:p>
        </w:tc>
        <w:tc>
          <w:tcPr>
            <w:tcW w:w="2960" w:type="dxa"/>
            <w:tcBorders>
              <w:top w:val="nil"/>
              <w:left w:val="nil"/>
              <w:bottom w:val="nil"/>
              <w:right w:val="nil"/>
            </w:tcBorders>
            <w:noWrap/>
            <w:vAlign w:val="bottom"/>
            <w:hideMark/>
          </w:tcPr>
          <w:p w14:paraId="5C49B4D4" w14:textId="77777777" w:rsidR="000B107A" w:rsidRPr="000B107A" w:rsidRDefault="000B107A" w:rsidP="000B107A">
            <w:pPr>
              <w:spacing w:after="0" w:line="240" w:lineRule="auto"/>
              <w:rPr>
                <w:rFonts w:ascii="Calibri" w:eastAsia="Times New Roman" w:hAnsi="Calibri" w:cs="Calibri"/>
                <w:color w:val="000000"/>
                <w:sz w:val="22"/>
                <w:lang w:eastAsia="en-GB"/>
              </w:rPr>
            </w:pPr>
          </w:p>
        </w:tc>
      </w:tr>
      <w:tr w:rsidR="000B107A" w:rsidRPr="000B107A" w14:paraId="35D1AD0A" w14:textId="77777777" w:rsidTr="000B107A">
        <w:trPr>
          <w:trHeight w:val="300"/>
        </w:trPr>
        <w:tc>
          <w:tcPr>
            <w:tcW w:w="4620" w:type="dxa"/>
            <w:tcBorders>
              <w:top w:val="nil"/>
              <w:left w:val="nil"/>
              <w:bottom w:val="nil"/>
              <w:right w:val="nil"/>
            </w:tcBorders>
            <w:noWrap/>
            <w:vAlign w:val="bottom"/>
            <w:hideMark/>
          </w:tcPr>
          <w:p w14:paraId="4814A0A6" w14:textId="77777777" w:rsidR="000B107A" w:rsidRPr="000B107A" w:rsidRDefault="000B107A" w:rsidP="000B107A">
            <w:pPr>
              <w:spacing w:after="0" w:line="240" w:lineRule="auto"/>
              <w:rPr>
                <w:rFonts w:ascii="Times New Roman" w:eastAsia="Times New Roman" w:hAnsi="Times New Roman" w:cs="Times New Roman"/>
                <w:szCs w:val="20"/>
                <w:lang w:eastAsia="en-GB"/>
              </w:rPr>
            </w:pPr>
          </w:p>
        </w:tc>
        <w:tc>
          <w:tcPr>
            <w:tcW w:w="760" w:type="dxa"/>
            <w:tcBorders>
              <w:top w:val="single" w:sz="8" w:space="0" w:color="auto"/>
              <w:left w:val="single" w:sz="8" w:space="0" w:color="auto"/>
              <w:bottom w:val="single" w:sz="8" w:space="0" w:color="auto"/>
              <w:right w:val="single" w:sz="8" w:space="0" w:color="auto"/>
            </w:tcBorders>
            <w:shd w:val="clear" w:color="000000" w:fill="FCE4D6"/>
            <w:noWrap/>
            <w:vAlign w:val="bottom"/>
            <w:hideMark/>
          </w:tcPr>
          <w:p w14:paraId="5A63E3A9" w14:textId="521846A2" w:rsidR="000B107A" w:rsidRPr="000B107A" w:rsidRDefault="000B107A" w:rsidP="000B107A">
            <w:pPr>
              <w:spacing w:after="0" w:line="240" w:lineRule="auto"/>
              <w:jc w:val="right"/>
              <w:rPr>
                <w:rFonts w:ascii="Calibri" w:eastAsia="Times New Roman" w:hAnsi="Calibri" w:cs="Calibri"/>
                <w:b/>
                <w:bCs/>
                <w:color w:val="000000"/>
                <w:sz w:val="22"/>
                <w:lang w:eastAsia="en-GB"/>
              </w:rPr>
            </w:pPr>
            <w:r w:rsidRPr="000B107A">
              <w:rPr>
                <w:rFonts w:ascii="Calibri" w:eastAsia="Times New Roman" w:hAnsi="Calibri" w:cs="Calibri"/>
                <w:b/>
                <w:bCs/>
                <w:color w:val="000000"/>
                <w:sz w:val="22"/>
                <w:lang w:eastAsia="en-GB"/>
              </w:rPr>
              <w:t>3</w:t>
            </w:r>
            <w:r w:rsidR="00443ED4">
              <w:rPr>
                <w:rFonts w:ascii="Calibri" w:eastAsia="Times New Roman" w:hAnsi="Calibri" w:cs="Calibri"/>
                <w:b/>
                <w:bCs/>
                <w:color w:val="000000"/>
                <w:sz w:val="22"/>
                <w:lang w:eastAsia="en-GB"/>
              </w:rPr>
              <w:t>2</w:t>
            </w:r>
            <w:r w:rsidRPr="000B107A">
              <w:rPr>
                <w:rFonts w:ascii="Calibri" w:eastAsia="Times New Roman" w:hAnsi="Calibri" w:cs="Calibri"/>
                <w:b/>
                <w:bCs/>
                <w:color w:val="000000"/>
                <w:sz w:val="22"/>
                <w:lang w:eastAsia="en-GB"/>
              </w:rPr>
              <w:t>00</w:t>
            </w:r>
          </w:p>
        </w:tc>
        <w:tc>
          <w:tcPr>
            <w:tcW w:w="2960" w:type="dxa"/>
            <w:tcBorders>
              <w:top w:val="nil"/>
              <w:left w:val="nil"/>
              <w:bottom w:val="nil"/>
              <w:right w:val="nil"/>
            </w:tcBorders>
            <w:noWrap/>
            <w:vAlign w:val="bottom"/>
            <w:hideMark/>
          </w:tcPr>
          <w:p w14:paraId="45219EB0" w14:textId="77777777" w:rsidR="000B107A" w:rsidRPr="000B107A" w:rsidRDefault="000B107A" w:rsidP="000B107A">
            <w:pPr>
              <w:spacing w:after="0" w:line="240" w:lineRule="auto"/>
              <w:jc w:val="right"/>
              <w:rPr>
                <w:rFonts w:ascii="Calibri" w:eastAsia="Times New Roman" w:hAnsi="Calibri" w:cs="Calibri"/>
                <w:b/>
                <w:bCs/>
                <w:color w:val="000000"/>
                <w:sz w:val="22"/>
                <w:lang w:eastAsia="en-GB"/>
              </w:rPr>
            </w:pPr>
          </w:p>
        </w:tc>
      </w:tr>
      <w:tr w:rsidR="000B107A" w:rsidRPr="000B107A" w14:paraId="0155B97B" w14:textId="77777777" w:rsidTr="000B107A">
        <w:trPr>
          <w:trHeight w:val="288"/>
        </w:trPr>
        <w:tc>
          <w:tcPr>
            <w:tcW w:w="4620" w:type="dxa"/>
            <w:tcBorders>
              <w:top w:val="nil"/>
              <w:left w:val="nil"/>
              <w:bottom w:val="nil"/>
              <w:right w:val="nil"/>
            </w:tcBorders>
            <w:noWrap/>
            <w:vAlign w:val="bottom"/>
            <w:hideMark/>
          </w:tcPr>
          <w:p w14:paraId="47E83013" w14:textId="77777777" w:rsidR="000B107A" w:rsidRPr="000B107A" w:rsidRDefault="000B107A" w:rsidP="000B107A">
            <w:pPr>
              <w:spacing w:after="0" w:line="240" w:lineRule="auto"/>
              <w:rPr>
                <w:rFonts w:ascii="Times New Roman" w:eastAsia="Times New Roman" w:hAnsi="Times New Roman" w:cs="Times New Roman"/>
                <w:szCs w:val="20"/>
                <w:lang w:eastAsia="en-GB"/>
              </w:rPr>
            </w:pPr>
          </w:p>
        </w:tc>
        <w:tc>
          <w:tcPr>
            <w:tcW w:w="760" w:type="dxa"/>
            <w:tcBorders>
              <w:top w:val="nil"/>
              <w:left w:val="nil"/>
              <w:bottom w:val="nil"/>
              <w:right w:val="nil"/>
            </w:tcBorders>
            <w:noWrap/>
            <w:vAlign w:val="bottom"/>
            <w:hideMark/>
          </w:tcPr>
          <w:p w14:paraId="318921C5" w14:textId="77777777" w:rsidR="000B107A" w:rsidRPr="000B107A" w:rsidRDefault="000B107A" w:rsidP="000B107A">
            <w:pPr>
              <w:spacing w:after="0" w:line="240" w:lineRule="auto"/>
              <w:rPr>
                <w:rFonts w:ascii="Times New Roman" w:eastAsia="Times New Roman" w:hAnsi="Times New Roman" w:cs="Times New Roman"/>
                <w:szCs w:val="20"/>
                <w:lang w:eastAsia="en-GB"/>
              </w:rPr>
            </w:pPr>
          </w:p>
        </w:tc>
        <w:tc>
          <w:tcPr>
            <w:tcW w:w="2960" w:type="dxa"/>
            <w:tcBorders>
              <w:top w:val="nil"/>
              <w:left w:val="nil"/>
              <w:bottom w:val="nil"/>
              <w:right w:val="nil"/>
            </w:tcBorders>
            <w:noWrap/>
            <w:vAlign w:val="bottom"/>
            <w:hideMark/>
          </w:tcPr>
          <w:p w14:paraId="74E14660" w14:textId="77777777" w:rsidR="000B107A" w:rsidRPr="000B107A" w:rsidRDefault="000B107A" w:rsidP="000B107A">
            <w:pPr>
              <w:spacing w:after="0" w:line="240" w:lineRule="auto"/>
              <w:rPr>
                <w:rFonts w:ascii="Times New Roman" w:eastAsia="Times New Roman" w:hAnsi="Times New Roman" w:cs="Times New Roman"/>
                <w:szCs w:val="20"/>
                <w:lang w:eastAsia="en-GB"/>
              </w:rPr>
            </w:pPr>
          </w:p>
        </w:tc>
      </w:tr>
      <w:tr w:rsidR="000B107A" w:rsidRPr="000B107A" w14:paraId="1CC74C96" w14:textId="77777777" w:rsidTr="000B107A">
        <w:trPr>
          <w:trHeight w:val="516"/>
        </w:trPr>
        <w:tc>
          <w:tcPr>
            <w:tcW w:w="4620" w:type="dxa"/>
            <w:tcBorders>
              <w:top w:val="nil"/>
              <w:left w:val="nil"/>
              <w:bottom w:val="nil"/>
              <w:right w:val="nil"/>
            </w:tcBorders>
            <w:noWrap/>
            <w:vAlign w:val="bottom"/>
            <w:hideMark/>
          </w:tcPr>
          <w:p w14:paraId="50B946AD" w14:textId="77777777" w:rsidR="000B107A" w:rsidRPr="000B107A" w:rsidRDefault="000B107A" w:rsidP="000B107A">
            <w:pPr>
              <w:spacing w:after="0" w:line="240" w:lineRule="auto"/>
              <w:rPr>
                <w:rFonts w:ascii="Calibri" w:eastAsia="Times New Roman" w:hAnsi="Calibri" w:cs="Calibri"/>
                <w:b/>
                <w:bCs/>
                <w:color w:val="000000"/>
                <w:sz w:val="22"/>
                <w:lang w:eastAsia="en-GB"/>
              </w:rPr>
            </w:pPr>
            <w:r w:rsidRPr="000B107A">
              <w:rPr>
                <w:rFonts w:ascii="Calibri" w:eastAsia="Times New Roman" w:hAnsi="Calibri" w:cs="Calibri"/>
                <w:b/>
                <w:bCs/>
                <w:color w:val="000000"/>
                <w:sz w:val="22"/>
                <w:lang w:eastAsia="en-GB"/>
              </w:rPr>
              <w:t>Average Cost to Client Per Annum</w:t>
            </w:r>
          </w:p>
        </w:tc>
        <w:tc>
          <w:tcPr>
            <w:tcW w:w="3720" w:type="dxa"/>
            <w:gridSpan w:val="2"/>
            <w:tcBorders>
              <w:top w:val="nil"/>
              <w:left w:val="single" w:sz="4" w:space="0" w:color="auto"/>
              <w:bottom w:val="single" w:sz="4" w:space="0" w:color="auto"/>
              <w:right w:val="single" w:sz="4" w:space="0" w:color="000000"/>
            </w:tcBorders>
            <w:shd w:val="clear" w:color="000000" w:fill="ED7D31"/>
            <w:noWrap/>
            <w:vAlign w:val="center"/>
            <w:hideMark/>
          </w:tcPr>
          <w:p w14:paraId="6ED92E04" w14:textId="634239C6" w:rsidR="000B107A" w:rsidRPr="000B107A" w:rsidRDefault="000B107A" w:rsidP="000B107A">
            <w:pPr>
              <w:spacing w:after="0" w:line="240" w:lineRule="auto"/>
              <w:jc w:val="center"/>
              <w:rPr>
                <w:rFonts w:ascii="Calibri" w:eastAsia="Times New Roman" w:hAnsi="Calibri" w:cs="Calibri"/>
                <w:b/>
                <w:bCs/>
                <w:color w:val="FFFFFF"/>
                <w:sz w:val="40"/>
                <w:szCs w:val="40"/>
                <w:lang w:eastAsia="en-GB"/>
              </w:rPr>
            </w:pPr>
            <w:r w:rsidRPr="000B107A">
              <w:rPr>
                <w:rFonts w:ascii="Calibri" w:eastAsia="Times New Roman" w:hAnsi="Calibri" w:cs="Calibri"/>
                <w:b/>
                <w:bCs/>
                <w:color w:val="FFFFFF"/>
                <w:sz w:val="40"/>
                <w:szCs w:val="40"/>
                <w:lang w:eastAsia="en-GB"/>
              </w:rPr>
              <w:t>£3,</w:t>
            </w:r>
            <w:r w:rsidR="00443ED4">
              <w:rPr>
                <w:rFonts w:ascii="Calibri" w:eastAsia="Times New Roman" w:hAnsi="Calibri" w:cs="Calibri"/>
                <w:b/>
                <w:bCs/>
                <w:color w:val="FFFFFF"/>
                <w:sz w:val="40"/>
                <w:szCs w:val="40"/>
                <w:lang w:eastAsia="en-GB"/>
              </w:rPr>
              <w:t>2</w:t>
            </w:r>
            <w:r w:rsidRPr="000B107A">
              <w:rPr>
                <w:rFonts w:ascii="Calibri" w:eastAsia="Times New Roman" w:hAnsi="Calibri" w:cs="Calibri"/>
                <w:b/>
                <w:bCs/>
                <w:color w:val="FFFFFF"/>
                <w:sz w:val="40"/>
                <w:szCs w:val="40"/>
                <w:lang w:eastAsia="en-GB"/>
              </w:rPr>
              <w:t>00</w:t>
            </w:r>
          </w:p>
        </w:tc>
      </w:tr>
    </w:tbl>
    <w:p w14:paraId="6EC1EAC0" w14:textId="77777777" w:rsidR="00B30001" w:rsidRDefault="00B30001">
      <w:pPr>
        <w:spacing w:line="259" w:lineRule="auto"/>
        <w:rPr>
          <w:u w:val="single"/>
        </w:rPr>
      </w:pPr>
    </w:p>
    <w:p w14:paraId="4FE64ADA" w14:textId="77777777" w:rsidR="000B107A" w:rsidRDefault="000B107A">
      <w:pPr>
        <w:spacing w:line="259" w:lineRule="auto"/>
        <w:rPr>
          <w:u w:val="single"/>
        </w:rPr>
      </w:pPr>
    </w:p>
    <w:p w14:paraId="3234FC8A" w14:textId="7BA8F738" w:rsidR="000B107A" w:rsidRPr="00507BDF" w:rsidRDefault="00507BDF">
      <w:pPr>
        <w:spacing w:line="259" w:lineRule="auto"/>
        <w:rPr>
          <w:i/>
          <w:iCs/>
        </w:rPr>
      </w:pPr>
      <w:r w:rsidRPr="00507BDF">
        <w:rPr>
          <w:i/>
          <w:iCs/>
        </w:rPr>
        <w:t>[Figures correct to March 2025]</w:t>
      </w:r>
    </w:p>
    <w:sectPr w:rsidR="000B107A" w:rsidRPr="00507BDF" w:rsidSect="00AA57BD">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26" w:bottom="1440" w:left="1772"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13F3C" w14:textId="77777777" w:rsidR="00545FE4" w:rsidRDefault="00545FE4" w:rsidP="00704D00">
      <w:pPr>
        <w:spacing w:after="0" w:line="240" w:lineRule="auto"/>
      </w:pPr>
      <w:r>
        <w:separator/>
      </w:r>
    </w:p>
    <w:p w14:paraId="2613C3A1" w14:textId="77777777" w:rsidR="00545FE4" w:rsidRDefault="00545FE4"/>
    <w:p w14:paraId="5F44C15E" w14:textId="77777777" w:rsidR="00545FE4" w:rsidRDefault="00545FE4" w:rsidP="00966DDD"/>
  </w:endnote>
  <w:endnote w:type="continuationSeparator" w:id="0">
    <w:p w14:paraId="027DD11F" w14:textId="77777777" w:rsidR="00545FE4" w:rsidRDefault="00545FE4" w:rsidP="00704D00">
      <w:pPr>
        <w:spacing w:after="0" w:line="240" w:lineRule="auto"/>
      </w:pPr>
      <w:r>
        <w:continuationSeparator/>
      </w:r>
    </w:p>
    <w:p w14:paraId="2FCC370E" w14:textId="77777777" w:rsidR="00545FE4" w:rsidRDefault="00545FE4"/>
    <w:p w14:paraId="4868CEAF" w14:textId="77777777" w:rsidR="00545FE4" w:rsidRDefault="00545FE4" w:rsidP="00966DDD"/>
  </w:endnote>
  <w:endnote w:type="continuationNotice" w:id="1">
    <w:p w14:paraId="2F7250D9" w14:textId="77777777" w:rsidR="00545FE4" w:rsidRDefault="00545F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Light">
    <w:charset w:val="00"/>
    <w:family w:val="roman"/>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venir Nex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B9A0" w14:textId="77777777" w:rsidR="001E315A" w:rsidRDefault="001E3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EA4C" w14:textId="77777777" w:rsidR="004977E1" w:rsidRDefault="004977E1" w:rsidP="00191A1D">
    <w:pPr>
      <w:pStyle w:val="Footer"/>
      <w:framePr w:wrap="none" w:vAnchor="text" w:hAnchor="page" w:x="7426" w:y="227"/>
      <w:rPr>
        <w:rStyle w:val="PageNumber"/>
      </w:rPr>
    </w:pPr>
  </w:p>
  <w:tbl>
    <w:tblPr>
      <w:tblStyle w:val="TableGrid"/>
      <w:tblW w:w="13389"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92"/>
      <w:gridCol w:w="7897"/>
    </w:tblGrid>
    <w:tr w:rsidR="00BD38A6" w:rsidRPr="009A3BCA" w14:paraId="6BF927E6" w14:textId="77777777" w:rsidTr="0083519C">
      <w:trPr>
        <w:trHeight w:val="174"/>
      </w:trPr>
      <w:tc>
        <w:tcPr>
          <w:tcW w:w="2051" w:type="pct"/>
          <w:tcMar>
            <w:left w:w="0" w:type="dxa"/>
            <w:right w:w="0" w:type="dxa"/>
          </w:tcMar>
          <w:vAlign w:val="bottom"/>
        </w:tcPr>
        <w:p w14:paraId="4018DDDF" w14:textId="77777777" w:rsidR="00BD38A6" w:rsidRPr="00416BBD" w:rsidRDefault="00BD38A6" w:rsidP="00BD38A6">
          <w:pPr>
            <w:pStyle w:val="Header"/>
            <w:spacing w:before="200"/>
            <w:rPr>
              <w:color w:val="000000" w:themeColor="text1"/>
              <w:sz w:val="18"/>
              <w:szCs w:val="18"/>
              <w:lang w:val="en-US"/>
            </w:rPr>
          </w:pPr>
          <w:r w:rsidRPr="00416BBD">
            <w:rPr>
              <w:color w:val="000000" w:themeColor="text1"/>
              <w:sz w:val="18"/>
              <w:szCs w:val="18"/>
            </w:rPr>
            <w:t xml:space="preserve">© </w:t>
          </w:r>
          <w:r>
            <w:rPr>
              <w:color w:val="000000" w:themeColor="text1"/>
              <w:sz w:val="18"/>
              <w:szCs w:val="18"/>
            </w:rPr>
            <w:t>Thistle Initiatives</w:t>
          </w:r>
          <w:r w:rsidRPr="00416BBD">
            <w:rPr>
              <w:color w:val="000000" w:themeColor="text1"/>
              <w:sz w:val="18"/>
              <w:szCs w:val="18"/>
            </w:rPr>
            <w:t xml:space="preserve"> Limited</w:t>
          </w:r>
        </w:p>
      </w:tc>
      <w:tc>
        <w:tcPr>
          <w:tcW w:w="2949" w:type="pct"/>
          <w:tcMar>
            <w:left w:w="0" w:type="dxa"/>
            <w:right w:w="0" w:type="dxa"/>
          </w:tcMar>
          <w:vAlign w:val="bottom"/>
        </w:tcPr>
        <w:p w14:paraId="150495F2" w14:textId="5D72A8B7" w:rsidR="00BD38A6" w:rsidRPr="00416BBD" w:rsidRDefault="00BD38A6" w:rsidP="00BD38A6">
          <w:pPr>
            <w:pStyle w:val="Header"/>
            <w:spacing w:before="200"/>
            <w:jc w:val="right"/>
            <w:rPr>
              <w:color w:val="000000" w:themeColor="text1"/>
              <w:sz w:val="18"/>
              <w:szCs w:val="18"/>
            </w:rPr>
          </w:pPr>
          <w:r w:rsidRPr="00DC6D02">
            <w:rPr>
              <w:color w:val="000000" w:themeColor="text1"/>
              <w:sz w:val="18"/>
              <w:szCs w:val="18"/>
            </w:rPr>
            <w:t>Version</w:t>
          </w:r>
          <w:r w:rsidR="001E315A">
            <w:rPr>
              <w:color w:val="000000" w:themeColor="text1"/>
              <w:sz w:val="18"/>
              <w:szCs w:val="18"/>
            </w:rPr>
            <w:t xml:space="preserve">: </w:t>
          </w:r>
          <w:r>
            <w:rPr>
              <w:color w:val="000000" w:themeColor="text1"/>
              <w:sz w:val="18"/>
              <w:szCs w:val="18"/>
            </w:rPr>
            <w:t>December</w:t>
          </w:r>
          <w:r w:rsidRPr="00DC6D02">
            <w:rPr>
              <w:color w:val="000000" w:themeColor="text1"/>
              <w:sz w:val="18"/>
              <w:szCs w:val="18"/>
            </w:rPr>
            <w:t xml:space="preserve"> 2024</w:t>
          </w:r>
          <w:r>
            <w:rPr>
              <w:color w:val="000000" w:themeColor="text1"/>
              <w:sz w:val="18"/>
              <w:szCs w:val="18"/>
            </w:rPr>
            <w:t xml:space="preserve"> page </w:t>
          </w:r>
          <w:r w:rsidRPr="003D19BE">
            <w:rPr>
              <w:color w:val="000000" w:themeColor="text1"/>
              <w:sz w:val="18"/>
              <w:szCs w:val="18"/>
            </w:rPr>
            <w:fldChar w:fldCharType="begin"/>
          </w:r>
          <w:r w:rsidRPr="003D19BE">
            <w:rPr>
              <w:color w:val="000000" w:themeColor="text1"/>
              <w:sz w:val="18"/>
              <w:szCs w:val="18"/>
            </w:rPr>
            <w:instrText xml:space="preserve"> PAGE   \* MERGEFORMAT </w:instrText>
          </w:r>
          <w:r w:rsidRPr="003D19BE">
            <w:rPr>
              <w:color w:val="000000" w:themeColor="text1"/>
              <w:sz w:val="18"/>
              <w:szCs w:val="18"/>
            </w:rPr>
            <w:fldChar w:fldCharType="separate"/>
          </w:r>
          <w:r w:rsidRPr="003D19BE">
            <w:rPr>
              <w:noProof/>
              <w:color w:val="000000" w:themeColor="text1"/>
              <w:sz w:val="18"/>
              <w:szCs w:val="18"/>
            </w:rPr>
            <w:t>1</w:t>
          </w:r>
          <w:r w:rsidRPr="003D19BE">
            <w:rPr>
              <w:noProof/>
              <w:color w:val="000000" w:themeColor="text1"/>
              <w:sz w:val="18"/>
              <w:szCs w:val="18"/>
            </w:rPr>
            <w:fldChar w:fldCharType="end"/>
          </w:r>
        </w:p>
      </w:tc>
    </w:tr>
  </w:tbl>
  <w:p w14:paraId="407A2F3C" w14:textId="0A4D311D" w:rsidR="004977E1" w:rsidRDefault="004977E1" w:rsidP="00966DDD">
    <w:r>
      <w:rPr>
        <w:noProof/>
      </w:rPr>
      <w:drawing>
        <wp:anchor distT="0" distB="0" distL="114300" distR="114300" simplePos="0" relativeHeight="251658243" behindDoc="1" locked="0" layoutInCell="1" allowOverlap="1" wp14:anchorId="7AC78C5F" wp14:editId="4E61D856">
          <wp:simplePos x="0" y="0"/>
          <wp:positionH relativeFrom="column">
            <wp:posOffset>-252730</wp:posOffset>
          </wp:positionH>
          <wp:positionV relativeFrom="page">
            <wp:posOffset>9848264</wp:posOffset>
          </wp:positionV>
          <wp:extent cx="1051200" cy="417600"/>
          <wp:effectExtent l="0" t="0" r="0" b="0"/>
          <wp:wrapNone/>
          <wp:docPr id="24253281" name="Graphic 24253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51200" cy="417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8E66" w14:textId="77777777" w:rsidR="001E315A" w:rsidRDefault="001E3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88145" w14:textId="77777777" w:rsidR="00545FE4" w:rsidRDefault="00545FE4" w:rsidP="00704D00">
      <w:pPr>
        <w:spacing w:after="0" w:line="240" w:lineRule="auto"/>
      </w:pPr>
      <w:r>
        <w:separator/>
      </w:r>
    </w:p>
    <w:p w14:paraId="62D42488" w14:textId="77777777" w:rsidR="00545FE4" w:rsidRDefault="00545FE4"/>
    <w:p w14:paraId="7F8A67F8" w14:textId="77777777" w:rsidR="00545FE4" w:rsidRDefault="00545FE4" w:rsidP="00966DDD"/>
  </w:footnote>
  <w:footnote w:type="continuationSeparator" w:id="0">
    <w:p w14:paraId="17B3C843" w14:textId="77777777" w:rsidR="00545FE4" w:rsidRDefault="00545FE4" w:rsidP="00704D00">
      <w:pPr>
        <w:spacing w:after="0" w:line="240" w:lineRule="auto"/>
      </w:pPr>
      <w:r>
        <w:continuationSeparator/>
      </w:r>
    </w:p>
    <w:p w14:paraId="671662D1" w14:textId="77777777" w:rsidR="00545FE4" w:rsidRDefault="00545FE4"/>
    <w:p w14:paraId="60D9D9C5" w14:textId="77777777" w:rsidR="00545FE4" w:rsidRDefault="00545FE4" w:rsidP="00966DDD"/>
  </w:footnote>
  <w:footnote w:type="continuationNotice" w:id="1">
    <w:p w14:paraId="0C7EF893" w14:textId="77777777" w:rsidR="00545FE4" w:rsidRDefault="00545F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AFB7" w14:textId="77777777" w:rsidR="001E315A" w:rsidRDefault="001E3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EFF4" w14:textId="77777777" w:rsidR="004977E1" w:rsidRDefault="004977E1" w:rsidP="00966DD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1FEB" w14:textId="77777777" w:rsidR="001E315A" w:rsidRDefault="001E3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93991866" o:spid="_x0000_i1025" type="#_x0000_t75" style="width:36.6pt;height:57.6pt;visibility:visible;mso-wrap-style:square" o:bullet="t">
        <v:imagedata r:id="rId1" o:title=""/>
      </v:shape>
    </w:pict>
  </w:numPicBullet>
  <w:numPicBullet w:numPicBulletId="1">
    <w:pict>
      <v:shape id="Picture 673352200" o:spid="_x0000_i1026" type="#_x0000_t75" style="width:36pt;height:56.4pt;visibility:visible;mso-wrap-style:square" o:bullet="t">
        <v:imagedata r:id="rId2" o:title=""/>
      </v:shape>
    </w:pict>
  </w:numPicBullet>
  <w:numPicBullet w:numPicBulletId="2">
    <w:pict>
      <v:shape id="Picture 1614577928" o:spid="_x0000_i1027" type="#_x0000_t75" style="width:36pt;height:56.4pt;visibility:visible;mso-wrap-style:square" o:bullet="t">
        <v:imagedata r:id="rId3" o:title=""/>
      </v:shape>
    </w:pict>
  </w:numPicBullet>
  <w:abstractNum w:abstractNumId="0" w15:restartNumberingAfterBreak="0">
    <w:nsid w:val="011A5E94"/>
    <w:multiLevelType w:val="multilevel"/>
    <w:tmpl w:val="545EEA66"/>
    <w:styleLink w:val="CurrentList5"/>
    <w:lvl w:ilvl="0">
      <w:start w:val="1"/>
      <w:numFmt w:val="decimal"/>
      <w:suff w:val="space"/>
      <w:lvlText w:val="%1."/>
      <w:lvlJc w:val="left"/>
      <w:pPr>
        <w:ind w:left="0" w:firstLine="0"/>
      </w:pPr>
      <w:rPr>
        <w:rFonts w:ascii="Arial" w:hAnsi="Arial" w:hint="default"/>
        <w:b/>
        <w:i w:val="0"/>
        <w:color w:val="2E2755"/>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0A34EC"/>
    <w:multiLevelType w:val="multilevel"/>
    <w:tmpl w:val="C3425526"/>
    <w:styleLink w:val="CurrentList10"/>
    <w:lvl w:ilvl="0">
      <w:start w:val="1"/>
      <w:numFmt w:val="bullet"/>
      <w:lvlText w:val=""/>
      <w:lvlPicBulletId w:val="2"/>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BB2C34"/>
    <w:multiLevelType w:val="hybridMultilevel"/>
    <w:tmpl w:val="E91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43990"/>
    <w:multiLevelType w:val="hybridMultilevel"/>
    <w:tmpl w:val="294CCDF8"/>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4" w15:restartNumberingAfterBreak="0">
    <w:nsid w:val="07DA71B8"/>
    <w:multiLevelType w:val="hybridMultilevel"/>
    <w:tmpl w:val="CF5C9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3311D"/>
    <w:multiLevelType w:val="multilevel"/>
    <w:tmpl w:val="36329EF2"/>
    <w:styleLink w:val="CurrentList7"/>
    <w:lvl w:ilvl="0">
      <w:start w:val="1"/>
      <w:numFmt w:val="bullet"/>
      <w:lvlText w:val="ð"/>
      <w:lvlJc w:val="left"/>
      <w:pPr>
        <w:ind w:left="720" w:hanging="360"/>
      </w:pPr>
      <w:rPr>
        <w:rFonts w:ascii="Wingdings" w:hAnsi="Wingdings" w:hint="default"/>
        <w:color w:val="B77000" w:themeColor="accent5" w:themeShade="BF"/>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935FEC"/>
    <w:multiLevelType w:val="multilevel"/>
    <w:tmpl w:val="B39879BA"/>
    <w:lvl w:ilvl="0">
      <w:start w:val="1"/>
      <w:numFmt w:val="decimal"/>
      <w:lvlText w:val="%1"/>
      <w:lvlJc w:val="left"/>
      <w:pPr>
        <w:tabs>
          <w:tab w:val="num" w:pos="360"/>
        </w:tabs>
        <w:ind w:left="360" w:hanging="360"/>
      </w:pPr>
      <w:rPr>
        <w:rFonts w:hint="default"/>
      </w:rPr>
    </w:lvl>
    <w:lvl w:ilvl="1">
      <w:start w:val="7"/>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0C03774A"/>
    <w:multiLevelType w:val="hybridMultilevel"/>
    <w:tmpl w:val="6D165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B06174"/>
    <w:multiLevelType w:val="hybridMultilevel"/>
    <w:tmpl w:val="1CDA5208"/>
    <w:lvl w:ilvl="0" w:tplc="A33A56AA">
      <w:start w:val="1"/>
      <w:numFmt w:val="decimal"/>
      <w:lvlText w:val="%1."/>
      <w:lvlJc w:val="left"/>
      <w:pPr>
        <w:ind w:left="720" w:hanging="360"/>
      </w:pPr>
      <w:rPr>
        <w:rFonts w:hint="default"/>
        <w:b/>
        <w:i w:val="0"/>
        <w:color w:val="auto"/>
        <w:sz w:val="21"/>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2318BF"/>
    <w:multiLevelType w:val="hybridMultilevel"/>
    <w:tmpl w:val="C6F0679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F759BC"/>
    <w:multiLevelType w:val="multilevel"/>
    <w:tmpl w:val="93B059FE"/>
    <w:lvl w:ilvl="0">
      <w:start w:val="1"/>
      <w:numFmt w:val="decimal"/>
      <w:lvlText w:val="%1"/>
      <w:lvlJc w:val="left"/>
      <w:pPr>
        <w:ind w:left="432" w:hanging="432"/>
      </w:pPr>
      <w:rPr>
        <w:rFonts w:hint="default"/>
        <w:sz w:val="32"/>
        <w:szCs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Roman"/>
      <w:pStyle w:val="AppendixHeading"/>
      <w:lvlText w:val="Appendix %4"/>
      <w:lvlJc w:val="left"/>
      <w:pPr>
        <w:ind w:left="1701" w:hanging="1701"/>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1FDC6164"/>
    <w:multiLevelType w:val="hybridMultilevel"/>
    <w:tmpl w:val="166EE20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378769F"/>
    <w:multiLevelType w:val="hybridMultilevel"/>
    <w:tmpl w:val="347859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58630FA"/>
    <w:multiLevelType w:val="multilevel"/>
    <w:tmpl w:val="51161A76"/>
    <w:styleLink w:val="CurrentList6"/>
    <w:lvl w:ilvl="0">
      <w:start w:val="1"/>
      <w:numFmt w:val="decimal"/>
      <w:suff w:val="space"/>
      <w:lvlText w:val="%1."/>
      <w:lvlJc w:val="left"/>
      <w:pPr>
        <w:ind w:left="0" w:firstLine="0"/>
      </w:pPr>
      <w:rPr>
        <w:rFonts w:ascii="Arial" w:hAnsi="Arial" w:hint="default"/>
        <w:b/>
        <w:i w:val="0"/>
        <w:color w:val="2E2755"/>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9A6140"/>
    <w:multiLevelType w:val="hybridMultilevel"/>
    <w:tmpl w:val="4CB29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7F2025"/>
    <w:multiLevelType w:val="multilevel"/>
    <w:tmpl w:val="063EC330"/>
    <w:lvl w:ilvl="0">
      <w:start w:val="1"/>
      <w:numFmt w:val="decimal"/>
      <w:pStyle w:val="Thistle-Head1-10"/>
      <w:suff w:val="space"/>
      <w:lvlText w:val="%1."/>
      <w:lvlJc w:val="left"/>
      <w:pPr>
        <w:ind w:left="0" w:firstLine="0"/>
      </w:pPr>
      <w:rPr>
        <w:rFonts w:ascii="Arial" w:hAnsi="Arial" w:hint="default"/>
        <w:b/>
        <w:i w:val="0"/>
        <w:color w:val="2E2755"/>
        <w:u w:val="none"/>
      </w:rPr>
    </w:lvl>
    <w:lvl w:ilvl="1">
      <w:start w:val="1"/>
      <w:numFmt w:val="decimal"/>
      <w:pStyle w:val="Thistle-Head2-11"/>
      <w:lvlText w:val="%1.%2."/>
      <w:lvlJc w:val="left"/>
      <w:pPr>
        <w:ind w:left="567" w:hanging="207"/>
      </w:pPr>
      <w:rPr>
        <w:rFonts w:hint="default"/>
        <w:b/>
        <w:i w:val="0"/>
      </w:rPr>
    </w:lvl>
    <w:lvl w:ilvl="2">
      <w:start w:val="1"/>
      <w:numFmt w:val="decimal"/>
      <w:pStyle w:val="Thistle-Head3111"/>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253F91"/>
    <w:multiLevelType w:val="hybridMultilevel"/>
    <w:tmpl w:val="B0BA6D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7197FE9"/>
    <w:multiLevelType w:val="hybridMultilevel"/>
    <w:tmpl w:val="D2964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2829AB"/>
    <w:multiLevelType w:val="hybridMultilevel"/>
    <w:tmpl w:val="C3425526"/>
    <w:lvl w:ilvl="0" w:tplc="A9E437DC">
      <w:start w:val="1"/>
      <w:numFmt w:val="bullet"/>
      <w:pStyle w:val="ThistleLevel1Bullet"/>
      <w:lvlText w:val=""/>
      <w:lvlPicBulletId w:val="2"/>
      <w:lvlJc w:val="left"/>
      <w:pPr>
        <w:ind w:left="720" w:hanging="360"/>
      </w:pPr>
      <w:rPr>
        <w:rFonts w:ascii="Symbol" w:hAnsi="Symbol" w:hint="default"/>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8B7CE0"/>
    <w:multiLevelType w:val="multilevel"/>
    <w:tmpl w:val="A86A8C0A"/>
    <w:styleLink w:val="CurrentList3"/>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250D69"/>
    <w:multiLevelType w:val="multilevel"/>
    <w:tmpl w:val="E840A470"/>
    <w:styleLink w:val="CurrentList2"/>
    <w:lvl w:ilvl="0">
      <w:start w:val="1"/>
      <w:numFmt w:val="decimal"/>
      <w:lvlText w:val="%1."/>
      <w:lvlJc w:val="left"/>
      <w:pPr>
        <w:ind w:left="113" w:hanging="113"/>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5F40D3"/>
    <w:multiLevelType w:val="multilevel"/>
    <w:tmpl w:val="15D853B4"/>
    <w:styleLink w:val="CurrentList4"/>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BA5C20"/>
    <w:multiLevelType w:val="hybridMultilevel"/>
    <w:tmpl w:val="0644CB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F4B3AB2"/>
    <w:multiLevelType w:val="multilevel"/>
    <w:tmpl w:val="819CD8E6"/>
    <w:styleLink w:val="CurrentList1"/>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475FA9"/>
    <w:multiLevelType w:val="multilevel"/>
    <w:tmpl w:val="C1FEA68A"/>
    <w:styleLink w:val="CurrentList11"/>
    <w:lvl w:ilvl="0">
      <w:start w:val="1"/>
      <w:numFmt w:val="decimal"/>
      <w:suff w:val="space"/>
      <w:lvlText w:val="%1."/>
      <w:lvlJc w:val="left"/>
      <w:pPr>
        <w:ind w:left="0" w:firstLine="0"/>
      </w:pPr>
      <w:rPr>
        <w:rFonts w:ascii="Arial" w:hAnsi="Arial" w:hint="default"/>
        <w:b/>
        <w:i w:val="0"/>
        <w:color w:val="2E2755"/>
        <w:u w:val="none"/>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EA22A2"/>
    <w:multiLevelType w:val="multilevel"/>
    <w:tmpl w:val="C236278A"/>
    <w:styleLink w:val="CurrentList8"/>
    <w:lvl w:ilvl="0">
      <w:start w:val="1"/>
      <w:numFmt w:val="bullet"/>
      <w:lvlText w:val=""/>
      <w:lvlPicBulletId w:val="0"/>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987226"/>
    <w:multiLevelType w:val="hybridMultilevel"/>
    <w:tmpl w:val="0B3EB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6A0A91"/>
    <w:multiLevelType w:val="hybridMultilevel"/>
    <w:tmpl w:val="D2964E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C66BF3"/>
    <w:multiLevelType w:val="hybridMultilevel"/>
    <w:tmpl w:val="1B8A0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AB0D47"/>
    <w:multiLevelType w:val="hybridMultilevel"/>
    <w:tmpl w:val="63DE9600"/>
    <w:lvl w:ilvl="0" w:tplc="5164DDE6">
      <w:start w:val="1"/>
      <w:numFmt w:val="bullet"/>
      <w:pStyle w:val="ListBullet"/>
      <w:lvlText w:val=""/>
      <w:lvlJc w:val="left"/>
      <w:pPr>
        <w:ind w:left="717" w:hanging="360"/>
      </w:pPr>
      <w:rPr>
        <w:rFonts w:ascii="Symbol" w:hAnsi="Symbol" w:hint="default"/>
        <w:b/>
        <w:i w:val="0"/>
        <w:color w:val="46DCDC" w:themeColor="accent1"/>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4E60B0"/>
    <w:multiLevelType w:val="multilevel"/>
    <w:tmpl w:val="236E81F2"/>
    <w:styleLink w:val="CurrentList9"/>
    <w:lvl w:ilvl="0">
      <w:start w:val="1"/>
      <w:numFmt w:val="bullet"/>
      <w:lvlText w:val=""/>
      <w:lvlPicBulletId w:val="1"/>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9904CFD"/>
    <w:multiLevelType w:val="hybridMultilevel"/>
    <w:tmpl w:val="ADC6217E"/>
    <w:lvl w:ilvl="0" w:tplc="CE505268">
      <w:start w:val="1"/>
      <w:numFmt w:val="decimal"/>
      <w:pStyle w:val="ListNumber"/>
      <w:lvlText w:val="%1."/>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39808580">
    <w:abstractNumId w:val="15"/>
  </w:num>
  <w:num w:numId="2" w16cid:durableId="809594803">
    <w:abstractNumId w:val="18"/>
  </w:num>
  <w:num w:numId="3" w16cid:durableId="2055765942">
    <w:abstractNumId w:val="23"/>
  </w:num>
  <w:num w:numId="4" w16cid:durableId="667095462">
    <w:abstractNumId w:val="20"/>
  </w:num>
  <w:num w:numId="5" w16cid:durableId="1947299725">
    <w:abstractNumId w:val="19"/>
  </w:num>
  <w:num w:numId="6" w16cid:durableId="516240076">
    <w:abstractNumId w:val="21"/>
  </w:num>
  <w:num w:numId="7" w16cid:durableId="238097996">
    <w:abstractNumId w:val="0"/>
  </w:num>
  <w:num w:numId="8" w16cid:durableId="718359301">
    <w:abstractNumId w:val="13"/>
  </w:num>
  <w:num w:numId="9" w16cid:durableId="1503818638">
    <w:abstractNumId w:val="5"/>
  </w:num>
  <w:num w:numId="10" w16cid:durableId="1821001607">
    <w:abstractNumId w:val="25"/>
  </w:num>
  <w:num w:numId="11" w16cid:durableId="2094543503">
    <w:abstractNumId w:val="30"/>
  </w:num>
  <w:num w:numId="12" w16cid:durableId="2053311764">
    <w:abstractNumId w:val="1"/>
  </w:num>
  <w:num w:numId="13" w16cid:durableId="387071821">
    <w:abstractNumId w:val="24"/>
  </w:num>
  <w:num w:numId="14" w16cid:durableId="1450664252">
    <w:abstractNumId w:val="10"/>
  </w:num>
  <w:num w:numId="15" w16cid:durableId="1218083012">
    <w:abstractNumId w:val="6"/>
  </w:num>
  <w:num w:numId="16" w16cid:durableId="2111584465">
    <w:abstractNumId w:val="29"/>
  </w:num>
  <w:num w:numId="17" w16cid:durableId="1441758366">
    <w:abstractNumId w:val="31"/>
  </w:num>
  <w:num w:numId="18" w16cid:durableId="1350837781">
    <w:abstractNumId w:val="31"/>
    <w:lvlOverride w:ilvl="0">
      <w:startOverride w:val="1"/>
    </w:lvlOverride>
  </w:num>
  <w:num w:numId="19" w16cid:durableId="1486235985">
    <w:abstractNumId w:val="3"/>
  </w:num>
  <w:num w:numId="20" w16cid:durableId="1741901875">
    <w:abstractNumId w:val="29"/>
  </w:num>
  <w:num w:numId="21" w16cid:durableId="237175768">
    <w:abstractNumId w:val="8"/>
  </w:num>
  <w:num w:numId="22" w16cid:durableId="471990902">
    <w:abstractNumId w:val="11"/>
  </w:num>
  <w:num w:numId="23" w16cid:durableId="84695270">
    <w:abstractNumId w:val="16"/>
  </w:num>
  <w:num w:numId="24" w16cid:durableId="1599750269">
    <w:abstractNumId w:val="22"/>
  </w:num>
  <w:num w:numId="25" w16cid:durableId="1951472204">
    <w:abstractNumId w:val="4"/>
  </w:num>
  <w:num w:numId="26" w16cid:durableId="922563994">
    <w:abstractNumId w:val="2"/>
  </w:num>
  <w:num w:numId="27" w16cid:durableId="485784396">
    <w:abstractNumId w:val="9"/>
  </w:num>
  <w:num w:numId="28" w16cid:durableId="546724076">
    <w:abstractNumId w:val="14"/>
  </w:num>
  <w:num w:numId="29" w16cid:durableId="1697998137">
    <w:abstractNumId w:val="12"/>
  </w:num>
  <w:num w:numId="30" w16cid:durableId="1401630773">
    <w:abstractNumId w:val="7"/>
  </w:num>
  <w:num w:numId="31" w16cid:durableId="1990667666">
    <w:abstractNumId w:val="28"/>
  </w:num>
  <w:num w:numId="32" w16cid:durableId="1433357786">
    <w:abstractNumId w:val="17"/>
  </w:num>
  <w:num w:numId="33" w16cid:durableId="100225322">
    <w:abstractNumId w:val="27"/>
  </w:num>
  <w:num w:numId="34" w16cid:durableId="1401365294">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wNTUzNDYxNjAwNTFV0lEKTi0uzszPAykwrwUAQ1/vYiwAAAA="/>
  </w:docVars>
  <w:rsids>
    <w:rsidRoot w:val="00F00C3D"/>
    <w:rsid w:val="0000210E"/>
    <w:rsid w:val="00004150"/>
    <w:rsid w:val="00005319"/>
    <w:rsid w:val="00007A8D"/>
    <w:rsid w:val="00007AED"/>
    <w:rsid w:val="0001233F"/>
    <w:rsid w:val="0001333D"/>
    <w:rsid w:val="000143CC"/>
    <w:rsid w:val="00017AFE"/>
    <w:rsid w:val="000207A7"/>
    <w:rsid w:val="0002121A"/>
    <w:rsid w:val="00026A1E"/>
    <w:rsid w:val="00030B71"/>
    <w:rsid w:val="00033D58"/>
    <w:rsid w:val="00034D17"/>
    <w:rsid w:val="00035196"/>
    <w:rsid w:val="00036C7F"/>
    <w:rsid w:val="00037BDC"/>
    <w:rsid w:val="00040C5C"/>
    <w:rsid w:val="00041FB9"/>
    <w:rsid w:val="000421A5"/>
    <w:rsid w:val="00046B4A"/>
    <w:rsid w:val="00047132"/>
    <w:rsid w:val="000477CE"/>
    <w:rsid w:val="00051B8F"/>
    <w:rsid w:val="00057F9F"/>
    <w:rsid w:val="00060192"/>
    <w:rsid w:val="0006064E"/>
    <w:rsid w:val="00064CBD"/>
    <w:rsid w:val="000657C0"/>
    <w:rsid w:val="00071271"/>
    <w:rsid w:val="00072963"/>
    <w:rsid w:val="00073471"/>
    <w:rsid w:val="00074BD2"/>
    <w:rsid w:val="00075ED3"/>
    <w:rsid w:val="000766EE"/>
    <w:rsid w:val="000833D0"/>
    <w:rsid w:val="0008468B"/>
    <w:rsid w:val="0008489F"/>
    <w:rsid w:val="00086493"/>
    <w:rsid w:val="000872B1"/>
    <w:rsid w:val="00091B3E"/>
    <w:rsid w:val="00092351"/>
    <w:rsid w:val="0009432C"/>
    <w:rsid w:val="00097EE5"/>
    <w:rsid w:val="000A137A"/>
    <w:rsid w:val="000A2C49"/>
    <w:rsid w:val="000A360F"/>
    <w:rsid w:val="000A6603"/>
    <w:rsid w:val="000A729B"/>
    <w:rsid w:val="000B107A"/>
    <w:rsid w:val="000B29D6"/>
    <w:rsid w:val="000C0812"/>
    <w:rsid w:val="000C0896"/>
    <w:rsid w:val="000C0FB3"/>
    <w:rsid w:val="000C18B0"/>
    <w:rsid w:val="000C31BA"/>
    <w:rsid w:val="000D0381"/>
    <w:rsid w:val="000D17D6"/>
    <w:rsid w:val="000D1966"/>
    <w:rsid w:val="000D2504"/>
    <w:rsid w:val="000D286D"/>
    <w:rsid w:val="000D41E3"/>
    <w:rsid w:val="000D44DB"/>
    <w:rsid w:val="000D5697"/>
    <w:rsid w:val="000D5756"/>
    <w:rsid w:val="000D6862"/>
    <w:rsid w:val="000E024A"/>
    <w:rsid w:val="000E10A3"/>
    <w:rsid w:val="000E33A0"/>
    <w:rsid w:val="000E4530"/>
    <w:rsid w:val="000E4B6E"/>
    <w:rsid w:val="000E5565"/>
    <w:rsid w:val="000E7587"/>
    <w:rsid w:val="000F3AC4"/>
    <w:rsid w:val="000F5745"/>
    <w:rsid w:val="000F7B68"/>
    <w:rsid w:val="00101722"/>
    <w:rsid w:val="001033C4"/>
    <w:rsid w:val="00107366"/>
    <w:rsid w:val="00107805"/>
    <w:rsid w:val="001078F7"/>
    <w:rsid w:val="0010798D"/>
    <w:rsid w:val="00107E9A"/>
    <w:rsid w:val="00117FDF"/>
    <w:rsid w:val="00124997"/>
    <w:rsid w:val="00132BEF"/>
    <w:rsid w:val="001354DF"/>
    <w:rsid w:val="00135E4E"/>
    <w:rsid w:val="00136B78"/>
    <w:rsid w:val="00136F56"/>
    <w:rsid w:val="00137172"/>
    <w:rsid w:val="001450C7"/>
    <w:rsid w:val="00145464"/>
    <w:rsid w:val="00145DF8"/>
    <w:rsid w:val="001469B0"/>
    <w:rsid w:val="001512A8"/>
    <w:rsid w:val="001526F3"/>
    <w:rsid w:val="00152DD2"/>
    <w:rsid w:val="00153126"/>
    <w:rsid w:val="001565DE"/>
    <w:rsid w:val="001607B8"/>
    <w:rsid w:val="001629E8"/>
    <w:rsid w:val="00165BAA"/>
    <w:rsid w:val="00166046"/>
    <w:rsid w:val="0017293D"/>
    <w:rsid w:val="00172D35"/>
    <w:rsid w:val="00173E8A"/>
    <w:rsid w:val="001741C2"/>
    <w:rsid w:val="001810C0"/>
    <w:rsid w:val="0018195C"/>
    <w:rsid w:val="00181AC4"/>
    <w:rsid w:val="0018219B"/>
    <w:rsid w:val="00186B55"/>
    <w:rsid w:val="00190C0B"/>
    <w:rsid w:val="00191A1D"/>
    <w:rsid w:val="00193F2A"/>
    <w:rsid w:val="0019444A"/>
    <w:rsid w:val="001A1273"/>
    <w:rsid w:val="001A2C88"/>
    <w:rsid w:val="001B4926"/>
    <w:rsid w:val="001B7E3F"/>
    <w:rsid w:val="001C11D4"/>
    <w:rsid w:val="001C447B"/>
    <w:rsid w:val="001C4B90"/>
    <w:rsid w:val="001C5FD7"/>
    <w:rsid w:val="001C70BC"/>
    <w:rsid w:val="001D010E"/>
    <w:rsid w:val="001D0ECB"/>
    <w:rsid w:val="001D39DB"/>
    <w:rsid w:val="001D51F5"/>
    <w:rsid w:val="001E2CFD"/>
    <w:rsid w:val="001E304C"/>
    <w:rsid w:val="001E315A"/>
    <w:rsid w:val="001F04BC"/>
    <w:rsid w:val="001F484B"/>
    <w:rsid w:val="001F65AC"/>
    <w:rsid w:val="0020002A"/>
    <w:rsid w:val="00202187"/>
    <w:rsid w:val="0020652E"/>
    <w:rsid w:val="00207BC4"/>
    <w:rsid w:val="0021121D"/>
    <w:rsid w:val="0021469A"/>
    <w:rsid w:val="00214E1B"/>
    <w:rsid w:val="00220415"/>
    <w:rsid w:val="00222D59"/>
    <w:rsid w:val="00235AD3"/>
    <w:rsid w:val="00241140"/>
    <w:rsid w:val="00241A47"/>
    <w:rsid w:val="00244080"/>
    <w:rsid w:val="002479E3"/>
    <w:rsid w:val="00247B51"/>
    <w:rsid w:val="00250FFF"/>
    <w:rsid w:val="00251FAE"/>
    <w:rsid w:val="00255FC6"/>
    <w:rsid w:val="002570C3"/>
    <w:rsid w:val="0026343A"/>
    <w:rsid w:val="00272C08"/>
    <w:rsid w:val="00282033"/>
    <w:rsid w:val="002853A7"/>
    <w:rsid w:val="002872B8"/>
    <w:rsid w:val="0028753C"/>
    <w:rsid w:val="00291B53"/>
    <w:rsid w:val="00292A50"/>
    <w:rsid w:val="00293423"/>
    <w:rsid w:val="00293A08"/>
    <w:rsid w:val="002971A6"/>
    <w:rsid w:val="002A32AD"/>
    <w:rsid w:val="002A4DD8"/>
    <w:rsid w:val="002A5EAD"/>
    <w:rsid w:val="002A6018"/>
    <w:rsid w:val="002B0136"/>
    <w:rsid w:val="002B43BE"/>
    <w:rsid w:val="002C0B98"/>
    <w:rsid w:val="002C30F4"/>
    <w:rsid w:val="002C3170"/>
    <w:rsid w:val="002C5D80"/>
    <w:rsid w:val="002D0BEA"/>
    <w:rsid w:val="002D6167"/>
    <w:rsid w:val="002D73FA"/>
    <w:rsid w:val="002E6267"/>
    <w:rsid w:val="002E6782"/>
    <w:rsid w:val="002F2F3D"/>
    <w:rsid w:val="002F33E8"/>
    <w:rsid w:val="002F4941"/>
    <w:rsid w:val="002F6F23"/>
    <w:rsid w:val="00302600"/>
    <w:rsid w:val="00305E61"/>
    <w:rsid w:val="00306A07"/>
    <w:rsid w:val="003102DD"/>
    <w:rsid w:val="00312C2D"/>
    <w:rsid w:val="00313D78"/>
    <w:rsid w:val="00321E99"/>
    <w:rsid w:val="0032528F"/>
    <w:rsid w:val="00326EB2"/>
    <w:rsid w:val="0032703C"/>
    <w:rsid w:val="00331779"/>
    <w:rsid w:val="00331D01"/>
    <w:rsid w:val="00337E9F"/>
    <w:rsid w:val="00340342"/>
    <w:rsid w:val="00343280"/>
    <w:rsid w:val="003451FE"/>
    <w:rsid w:val="00351D88"/>
    <w:rsid w:val="003533B7"/>
    <w:rsid w:val="00354A7E"/>
    <w:rsid w:val="00357F9D"/>
    <w:rsid w:val="003606C6"/>
    <w:rsid w:val="003606E4"/>
    <w:rsid w:val="0036265A"/>
    <w:rsid w:val="003632CD"/>
    <w:rsid w:val="00364834"/>
    <w:rsid w:val="00367879"/>
    <w:rsid w:val="003706EB"/>
    <w:rsid w:val="00371581"/>
    <w:rsid w:val="003735C2"/>
    <w:rsid w:val="003755C9"/>
    <w:rsid w:val="00376597"/>
    <w:rsid w:val="00381E4D"/>
    <w:rsid w:val="00385764"/>
    <w:rsid w:val="00390C87"/>
    <w:rsid w:val="003A05CF"/>
    <w:rsid w:val="003A08F5"/>
    <w:rsid w:val="003A149F"/>
    <w:rsid w:val="003A2DD2"/>
    <w:rsid w:val="003A420A"/>
    <w:rsid w:val="003A77E1"/>
    <w:rsid w:val="003A7B98"/>
    <w:rsid w:val="003B47C8"/>
    <w:rsid w:val="003B49BC"/>
    <w:rsid w:val="003B6706"/>
    <w:rsid w:val="003C0470"/>
    <w:rsid w:val="003C522A"/>
    <w:rsid w:val="003D1928"/>
    <w:rsid w:val="003D1962"/>
    <w:rsid w:val="003D3F32"/>
    <w:rsid w:val="003D42C0"/>
    <w:rsid w:val="003D5F87"/>
    <w:rsid w:val="003E2EBC"/>
    <w:rsid w:val="003E3639"/>
    <w:rsid w:val="003F1BD3"/>
    <w:rsid w:val="003F5EA7"/>
    <w:rsid w:val="004023E9"/>
    <w:rsid w:val="00405B35"/>
    <w:rsid w:val="00406B18"/>
    <w:rsid w:val="00410344"/>
    <w:rsid w:val="0041273C"/>
    <w:rsid w:val="00413205"/>
    <w:rsid w:val="0042076C"/>
    <w:rsid w:val="00423CC2"/>
    <w:rsid w:val="00426103"/>
    <w:rsid w:val="0043176A"/>
    <w:rsid w:val="004318C0"/>
    <w:rsid w:val="00433E3F"/>
    <w:rsid w:val="00441167"/>
    <w:rsid w:val="0044209E"/>
    <w:rsid w:val="00442A29"/>
    <w:rsid w:val="00443ED4"/>
    <w:rsid w:val="00445431"/>
    <w:rsid w:val="00445D92"/>
    <w:rsid w:val="0044736E"/>
    <w:rsid w:val="00454782"/>
    <w:rsid w:val="00456856"/>
    <w:rsid w:val="0046256C"/>
    <w:rsid w:val="00467014"/>
    <w:rsid w:val="00470F6B"/>
    <w:rsid w:val="004739C0"/>
    <w:rsid w:val="00474316"/>
    <w:rsid w:val="004747DB"/>
    <w:rsid w:val="004774DC"/>
    <w:rsid w:val="004812FA"/>
    <w:rsid w:val="0048221C"/>
    <w:rsid w:val="00491C06"/>
    <w:rsid w:val="00491FB5"/>
    <w:rsid w:val="0049246B"/>
    <w:rsid w:val="0049320B"/>
    <w:rsid w:val="0049509E"/>
    <w:rsid w:val="004977E1"/>
    <w:rsid w:val="00497D38"/>
    <w:rsid w:val="004A0A03"/>
    <w:rsid w:val="004A3056"/>
    <w:rsid w:val="004A3B4E"/>
    <w:rsid w:val="004B09C1"/>
    <w:rsid w:val="004B2379"/>
    <w:rsid w:val="004B28D3"/>
    <w:rsid w:val="004B502C"/>
    <w:rsid w:val="004B5A99"/>
    <w:rsid w:val="004B73EB"/>
    <w:rsid w:val="004C1D4F"/>
    <w:rsid w:val="004C2E2E"/>
    <w:rsid w:val="004C3936"/>
    <w:rsid w:val="004C5A48"/>
    <w:rsid w:val="004D1C91"/>
    <w:rsid w:val="004D1D9B"/>
    <w:rsid w:val="004D2325"/>
    <w:rsid w:val="004D39BE"/>
    <w:rsid w:val="004D3A85"/>
    <w:rsid w:val="004E0934"/>
    <w:rsid w:val="004E394A"/>
    <w:rsid w:val="004E664C"/>
    <w:rsid w:val="004E66D6"/>
    <w:rsid w:val="004F0DE5"/>
    <w:rsid w:val="004F37B8"/>
    <w:rsid w:val="004F3FDA"/>
    <w:rsid w:val="004F452A"/>
    <w:rsid w:val="004F486D"/>
    <w:rsid w:val="00502BC0"/>
    <w:rsid w:val="00503164"/>
    <w:rsid w:val="005035F5"/>
    <w:rsid w:val="00507BDF"/>
    <w:rsid w:val="005171AA"/>
    <w:rsid w:val="00521CF0"/>
    <w:rsid w:val="0052257F"/>
    <w:rsid w:val="00523BFF"/>
    <w:rsid w:val="00526759"/>
    <w:rsid w:val="00526BD1"/>
    <w:rsid w:val="00534A77"/>
    <w:rsid w:val="00534BCD"/>
    <w:rsid w:val="00536C52"/>
    <w:rsid w:val="00545FE4"/>
    <w:rsid w:val="00551FF6"/>
    <w:rsid w:val="00556122"/>
    <w:rsid w:val="00557ECF"/>
    <w:rsid w:val="00560F34"/>
    <w:rsid w:val="0056159F"/>
    <w:rsid w:val="00565695"/>
    <w:rsid w:val="00573232"/>
    <w:rsid w:val="0057433D"/>
    <w:rsid w:val="00574A65"/>
    <w:rsid w:val="005757DA"/>
    <w:rsid w:val="005853B9"/>
    <w:rsid w:val="00586F05"/>
    <w:rsid w:val="005910A8"/>
    <w:rsid w:val="0059328D"/>
    <w:rsid w:val="00593B9B"/>
    <w:rsid w:val="0059570A"/>
    <w:rsid w:val="00595B25"/>
    <w:rsid w:val="00596AB9"/>
    <w:rsid w:val="00597B66"/>
    <w:rsid w:val="005A20E1"/>
    <w:rsid w:val="005A345B"/>
    <w:rsid w:val="005A5E7B"/>
    <w:rsid w:val="005A79FF"/>
    <w:rsid w:val="005A7BBD"/>
    <w:rsid w:val="005B2A21"/>
    <w:rsid w:val="005B328E"/>
    <w:rsid w:val="005B5C74"/>
    <w:rsid w:val="005C005D"/>
    <w:rsid w:val="005C0AA0"/>
    <w:rsid w:val="005C3CF2"/>
    <w:rsid w:val="005C785D"/>
    <w:rsid w:val="005C7E4D"/>
    <w:rsid w:val="005D0E7D"/>
    <w:rsid w:val="005D1683"/>
    <w:rsid w:val="005D1D77"/>
    <w:rsid w:val="005D2C4E"/>
    <w:rsid w:val="005E0A9D"/>
    <w:rsid w:val="005E21E8"/>
    <w:rsid w:val="005E2333"/>
    <w:rsid w:val="005E2391"/>
    <w:rsid w:val="005E3E78"/>
    <w:rsid w:val="005E512B"/>
    <w:rsid w:val="005F5927"/>
    <w:rsid w:val="005F5FF4"/>
    <w:rsid w:val="005F63B1"/>
    <w:rsid w:val="005F6ECF"/>
    <w:rsid w:val="00600D4D"/>
    <w:rsid w:val="00604F86"/>
    <w:rsid w:val="00605935"/>
    <w:rsid w:val="00607BCD"/>
    <w:rsid w:val="00610EA4"/>
    <w:rsid w:val="00611BC8"/>
    <w:rsid w:val="00611E94"/>
    <w:rsid w:val="00615B22"/>
    <w:rsid w:val="006178CD"/>
    <w:rsid w:val="00620284"/>
    <w:rsid w:val="006202F5"/>
    <w:rsid w:val="00621387"/>
    <w:rsid w:val="006237D9"/>
    <w:rsid w:val="00624E45"/>
    <w:rsid w:val="00625207"/>
    <w:rsid w:val="00625BEA"/>
    <w:rsid w:val="0062724B"/>
    <w:rsid w:val="00631E6D"/>
    <w:rsid w:val="006406CE"/>
    <w:rsid w:val="00642660"/>
    <w:rsid w:val="00645989"/>
    <w:rsid w:val="00650937"/>
    <w:rsid w:val="006526C4"/>
    <w:rsid w:val="006549A3"/>
    <w:rsid w:val="00654F99"/>
    <w:rsid w:val="006554DF"/>
    <w:rsid w:val="00656CBA"/>
    <w:rsid w:val="00660166"/>
    <w:rsid w:val="0066164D"/>
    <w:rsid w:val="006626BE"/>
    <w:rsid w:val="00663103"/>
    <w:rsid w:val="00664A90"/>
    <w:rsid w:val="006666B2"/>
    <w:rsid w:val="00673FD3"/>
    <w:rsid w:val="00676D36"/>
    <w:rsid w:val="006773DB"/>
    <w:rsid w:val="0068294B"/>
    <w:rsid w:val="00684A74"/>
    <w:rsid w:val="0069287E"/>
    <w:rsid w:val="00692983"/>
    <w:rsid w:val="006931E1"/>
    <w:rsid w:val="00697544"/>
    <w:rsid w:val="006A2A31"/>
    <w:rsid w:val="006A52C9"/>
    <w:rsid w:val="006B15EA"/>
    <w:rsid w:val="006B3C28"/>
    <w:rsid w:val="006B5836"/>
    <w:rsid w:val="006B617B"/>
    <w:rsid w:val="006C0E37"/>
    <w:rsid w:val="006C1B15"/>
    <w:rsid w:val="006C63DE"/>
    <w:rsid w:val="006C7F63"/>
    <w:rsid w:val="006D1D9E"/>
    <w:rsid w:val="006D1EED"/>
    <w:rsid w:val="006D4FB6"/>
    <w:rsid w:val="006D5896"/>
    <w:rsid w:val="006D5CBC"/>
    <w:rsid w:val="006D64B2"/>
    <w:rsid w:val="006D654A"/>
    <w:rsid w:val="006E12B5"/>
    <w:rsid w:val="006E2326"/>
    <w:rsid w:val="006E3E51"/>
    <w:rsid w:val="006E6E7B"/>
    <w:rsid w:val="006F2EDE"/>
    <w:rsid w:val="006F4A54"/>
    <w:rsid w:val="006F543C"/>
    <w:rsid w:val="006F7BC3"/>
    <w:rsid w:val="00704646"/>
    <w:rsid w:val="00704D00"/>
    <w:rsid w:val="007105B3"/>
    <w:rsid w:val="0071319E"/>
    <w:rsid w:val="0071703A"/>
    <w:rsid w:val="0072019B"/>
    <w:rsid w:val="00721B47"/>
    <w:rsid w:val="007242A6"/>
    <w:rsid w:val="007277EE"/>
    <w:rsid w:val="00731675"/>
    <w:rsid w:val="00735E61"/>
    <w:rsid w:val="00742E9A"/>
    <w:rsid w:val="007463D8"/>
    <w:rsid w:val="0075245D"/>
    <w:rsid w:val="007538EB"/>
    <w:rsid w:val="00753DFA"/>
    <w:rsid w:val="007646F6"/>
    <w:rsid w:val="00770000"/>
    <w:rsid w:val="00771E8D"/>
    <w:rsid w:val="00775879"/>
    <w:rsid w:val="007762C7"/>
    <w:rsid w:val="0077761A"/>
    <w:rsid w:val="00780698"/>
    <w:rsid w:val="00785D2C"/>
    <w:rsid w:val="00787EC1"/>
    <w:rsid w:val="00790A0F"/>
    <w:rsid w:val="0079403B"/>
    <w:rsid w:val="00794478"/>
    <w:rsid w:val="00796C10"/>
    <w:rsid w:val="00797D11"/>
    <w:rsid w:val="007A3F98"/>
    <w:rsid w:val="007B3AAD"/>
    <w:rsid w:val="007B3EF6"/>
    <w:rsid w:val="007B54B4"/>
    <w:rsid w:val="007B5681"/>
    <w:rsid w:val="007C5104"/>
    <w:rsid w:val="007C7911"/>
    <w:rsid w:val="007C7F0C"/>
    <w:rsid w:val="007D2137"/>
    <w:rsid w:val="007D36C4"/>
    <w:rsid w:val="007E68B0"/>
    <w:rsid w:val="007E6D66"/>
    <w:rsid w:val="007F0C92"/>
    <w:rsid w:val="007F12F6"/>
    <w:rsid w:val="007F1379"/>
    <w:rsid w:val="007F247D"/>
    <w:rsid w:val="007F4E49"/>
    <w:rsid w:val="007F58DF"/>
    <w:rsid w:val="007F5E71"/>
    <w:rsid w:val="00803925"/>
    <w:rsid w:val="00805E23"/>
    <w:rsid w:val="00807E12"/>
    <w:rsid w:val="008122C4"/>
    <w:rsid w:val="00812814"/>
    <w:rsid w:val="00812C51"/>
    <w:rsid w:val="008136E2"/>
    <w:rsid w:val="00815FF3"/>
    <w:rsid w:val="008203DE"/>
    <w:rsid w:val="008212D8"/>
    <w:rsid w:val="008215C6"/>
    <w:rsid w:val="00826641"/>
    <w:rsid w:val="0083011B"/>
    <w:rsid w:val="00830771"/>
    <w:rsid w:val="00831B30"/>
    <w:rsid w:val="008326A6"/>
    <w:rsid w:val="008344C6"/>
    <w:rsid w:val="0083519C"/>
    <w:rsid w:val="00835438"/>
    <w:rsid w:val="00837D18"/>
    <w:rsid w:val="00840866"/>
    <w:rsid w:val="00842BAA"/>
    <w:rsid w:val="0084498F"/>
    <w:rsid w:val="0084717D"/>
    <w:rsid w:val="008505DE"/>
    <w:rsid w:val="00852555"/>
    <w:rsid w:val="008623D3"/>
    <w:rsid w:val="00865782"/>
    <w:rsid w:val="00867DA1"/>
    <w:rsid w:val="00870658"/>
    <w:rsid w:val="00875086"/>
    <w:rsid w:val="00876293"/>
    <w:rsid w:val="00876644"/>
    <w:rsid w:val="00876EC1"/>
    <w:rsid w:val="008827FE"/>
    <w:rsid w:val="00886460"/>
    <w:rsid w:val="0089119D"/>
    <w:rsid w:val="00891AA0"/>
    <w:rsid w:val="008920C9"/>
    <w:rsid w:val="008927A4"/>
    <w:rsid w:val="00892815"/>
    <w:rsid w:val="008A2BC4"/>
    <w:rsid w:val="008A31A9"/>
    <w:rsid w:val="008A4AD9"/>
    <w:rsid w:val="008A4F6C"/>
    <w:rsid w:val="008A6CAB"/>
    <w:rsid w:val="008B13B3"/>
    <w:rsid w:val="008B7382"/>
    <w:rsid w:val="008C05F4"/>
    <w:rsid w:val="008C0748"/>
    <w:rsid w:val="008C121C"/>
    <w:rsid w:val="008C23A6"/>
    <w:rsid w:val="008C3F71"/>
    <w:rsid w:val="008C4FCB"/>
    <w:rsid w:val="008C587A"/>
    <w:rsid w:val="008D0C43"/>
    <w:rsid w:val="008D16F2"/>
    <w:rsid w:val="008D212C"/>
    <w:rsid w:val="008D3032"/>
    <w:rsid w:val="008D4F7E"/>
    <w:rsid w:val="008D75C2"/>
    <w:rsid w:val="008D772D"/>
    <w:rsid w:val="008E0EC3"/>
    <w:rsid w:val="008E17E1"/>
    <w:rsid w:val="008E1ED6"/>
    <w:rsid w:val="008E57F9"/>
    <w:rsid w:val="008F7B7B"/>
    <w:rsid w:val="00900A84"/>
    <w:rsid w:val="00901DC3"/>
    <w:rsid w:val="00906166"/>
    <w:rsid w:val="009065CB"/>
    <w:rsid w:val="00906A4C"/>
    <w:rsid w:val="00907C93"/>
    <w:rsid w:val="00912604"/>
    <w:rsid w:val="00913849"/>
    <w:rsid w:val="00916365"/>
    <w:rsid w:val="00916F4F"/>
    <w:rsid w:val="0092032B"/>
    <w:rsid w:val="00922A80"/>
    <w:rsid w:val="0092357E"/>
    <w:rsid w:val="009236E4"/>
    <w:rsid w:val="00926D6D"/>
    <w:rsid w:val="009301A4"/>
    <w:rsid w:val="0093201A"/>
    <w:rsid w:val="00932632"/>
    <w:rsid w:val="00934725"/>
    <w:rsid w:val="0093582B"/>
    <w:rsid w:val="00936D4F"/>
    <w:rsid w:val="00940BC0"/>
    <w:rsid w:val="00954528"/>
    <w:rsid w:val="009604EC"/>
    <w:rsid w:val="0096372A"/>
    <w:rsid w:val="009640D4"/>
    <w:rsid w:val="00966DDD"/>
    <w:rsid w:val="00966F87"/>
    <w:rsid w:val="00977EF9"/>
    <w:rsid w:val="0098124F"/>
    <w:rsid w:val="0098197F"/>
    <w:rsid w:val="009819FD"/>
    <w:rsid w:val="00984CA0"/>
    <w:rsid w:val="00985979"/>
    <w:rsid w:val="00986994"/>
    <w:rsid w:val="009901B5"/>
    <w:rsid w:val="00995902"/>
    <w:rsid w:val="0099670D"/>
    <w:rsid w:val="009A0E44"/>
    <w:rsid w:val="009A3BE5"/>
    <w:rsid w:val="009A44A7"/>
    <w:rsid w:val="009A5C0B"/>
    <w:rsid w:val="009B0696"/>
    <w:rsid w:val="009B13E7"/>
    <w:rsid w:val="009B2824"/>
    <w:rsid w:val="009B5030"/>
    <w:rsid w:val="009C1568"/>
    <w:rsid w:val="009C6950"/>
    <w:rsid w:val="009C79FE"/>
    <w:rsid w:val="009C7D68"/>
    <w:rsid w:val="009D4FBA"/>
    <w:rsid w:val="009E056A"/>
    <w:rsid w:val="009F1503"/>
    <w:rsid w:val="009F509D"/>
    <w:rsid w:val="009F7C6D"/>
    <w:rsid w:val="00A03FAE"/>
    <w:rsid w:val="00A04093"/>
    <w:rsid w:val="00A06BAE"/>
    <w:rsid w:val="00A07E31"/>
    <w:rsid w:val="00A11059"/>
    <w:rsid w:val="00A12AAB"/>
    <w:rsid w:val="00A27173"/>
    <w:rsid w:val="00A2734F"/>
    <w:rsid w:val="00A2735C"/>
    <w:rsid w:val="00A277A4"/>
    <w:rsid w:val="00A27C5C"/>
    <w:rsid w:val="00A3190D"/>
    <w:rsid w:val="00A3747A"/>
    <w:rsid w:val="00A419AD"/>
    <w:rsid w:val="00A51098"/>
    <w:rsid w:val="00A513A4"/>
    <w:rsid w:val="00A51D61"/>
    <w:rsid w:val="00A55AE1"/>
    <w:rsid w:val="00A56FCB"/>
    <w:rsid w:val="00A62C43"/>
    <w:rsid w:val="00A65F97"/>
    <w:rsid w:val="00A65FB0"/>
    <w:rsid w:val="00A71014"/>
    <w:rsid w:val="00A7290F"/>
    <w:rsid w:val="00A73AD2"/>
    <w:rsid w:val="00A75BFF"/>
    <w:rsid w:val="00A80447"/>
    <w:rsid w:val="00A817C5"/>
    <w:rsid w:val="00A81E27"/>
    <w:rsid w:val="00A82E27"/>
    <w:rsid w:val="00A85364"/>
    <w:rsid w:val="00A85954"/>
    <w:rsid w:val="00A87E4F"/>
    <w:rsid w:val="00A87E80"/>
    <w:rsid w:val="00A90402"/>
    <w:rsid w:val="00A9272D"/>
    <w:rsid w:val="00A92ED3"/>
    <w:rsid w:val="00A93F63"/>
    <w:rsid w:val="00A95BE8"/>
    <w:rsid w:val="00A96DA5"/>
    <w:rsid w:val="00A97255"/>
    <w:rsid w:val="00AA1677"/>
    <w:rsid w:val="00AA324E"/>
    <w:rsid w:val="00AA34CA"/>
    <w:rsid w:val="00AA503E"/>
    <w:rsid w:val="00AA5590"/>
    <w:rsid w:val="00AA57BD"/>
    <w:rsid w:val="00AA6DCD"/>
    <w:rsid w:val="00AB3A78"/>
    <w:rsid w:val="00AB45E9"/>
    <w:rsid w:val="00AB7C93"/>
    <w:rsid w:val="00AC089C"/>
    <w:rsid w:val="00AC464D"/>
    <w:rsid w:val="00AD00F5"/>
    <w:rsid w:val="00AD031A"/>
    <w:rsid w:val="00AD15B0"/>
    <w:rsid w:val="00AD1AD7"/>
    <w:rsid w:val="00AD2817"/>
    <w:rsid w:val="00AD4ED1"/>
    <w:rsid w:val="00AD5AC1"/>
    <w:rsid w:val="00AE1190"/>
    <w:rsid w:val="00AE3A98"/>
    <w:rsid w:val="00AE46BC"/>
    <w:rsid w:val="00AE593B"/>
    <w:rsid w:val="00AE7A87"/>
    <w:rsid w:val="00AF03EF"/>
    <w:rsid w:val="00B005E9"/>
    <w:rsid w:val="00B06EAA"/>
    <w:rsid w:val="00B07A96"/>
    <w:rsid w:val="00B100D7"/>
    <w:rsid w:val="00B11FB9"/>
    <w:rsid w:val="00B121F8"/>
    <w:rsid w:val="00B13D1A"/>
    <w:rsid w:val="00B16E49"/>
    <w:rsid w:val="00B17288"/>
    <w:rsid w:val="00B208A5"/>
    <w:rsid w:val="00B22943"/>
    <w:rsid w:val="00B23ED7"/>
    <w:rsid w:val="00B24521"/>
    <w:rsid w:val="00B2452F"/>
    <w:rsid w:val="00B26F3B"/>
    <w:rsid w:val="00B30001"/>
    <w:rsid w:val="00B323F0"/>
    <w:rsid w:val="00B3446B"/>
    <w:rsid w:val="00B35887"/>
    <w:rsid w:val="00B35BA3"/>
    <w:rsid w:val="00B363F4"/>
    <w:rsid w:val="00B37001"/>
    <w:rsid w:val="00B37CD6"/>
    <w:rsid w:val="00B37F1F"/>
    <w:rsid w:val="00B45850"/>
    <w:rsid w:val="00B45A36"/>
    <w:rsid w:val="00B45F2E"/>
    <w:rsid w:val="00B555C8"/>
    <w:rsid w:val="00B5594C"/>
    <w:rsid w:val="00B56810"/>
    <w:rsid w:val="00B60154"/>
    <w:rsid w:val="00B62403"/>
    <w:rsid w:val="00B65001"/>
    <w:rsid w:val="00B67E74"/>
    <w:rsid w:val="00B72558"/>
    <w:rsid w:val="00B7370C"/>
    <w:rsid w:val="00B75685"/>
    <w:rsid w:val="00B80FE0"/>
    <w:rsid w:val="00B81896"/>
    <w:rsid w:val="00B839F0"/>
    <w:rsid w:val="00B83C81"/>
    <w:rsid w:val="00B90D10"/>
    <w:rsid w:val="00B916DF"/>
    <w:rsid w:val="00B919A1"/>
    <w:rsid w:val="00B92C41"/>
    <w:rsid w:val="00B9306F"/>
    <w:rsid w:val="00B9337D"/>
    <w:rsid w:val="00B96098"/>
    <w:rsid w:val="00B96DC5"/>
    <w:rsid w:val="00B974B9"/>
    <w:rsid w:val="00BA0BFD"/>
    <w:rsid w:val="00BA1C64"/>
    <w:rsid w:val="00BA24B9"/>
    <w:rsid w:val="00BA31FA"/>
    <w:rsid w:val="00BA3BC5"/>
    <w:rsid w:val="00BA3CA6"/>
    <w:rsid w:val="00BA444B"/>
    <w:rsid w:val="00BA4888"/>
    <w:rsid w:val="00BA59B2"/>
    <w:rsid w:val="00BB1182"/>
    <w:rsid w:val="00BC0156"/>
    <w:rsid w:val="00BC12AC"/>
    <w:rsid w:val="00BC2884"/>
    <w:rsid w:val="00BC712C"/>
    <w:rsid w:val="00BD15A5"/>
    <w:rsid w:val="00BD38A6"/>
    <w:rsid w:val="00BD3D46"/>
    <w:rsid w:val="00BD3EA5"/>
    <w:rsid w:val="00BD4B5C"/>
    <w:rsid w:val="00BD53A4"/>
    <w:rsid w:val="00BD5DDC"/>
    <w:rsid w:val="00BD6DE7"/>
    <w:rsid w:val="00BD735F"/>
    <w:rsid w:val="00BE167C"/>
    <w:rsid w:val="00BE410D"/>
    <w:rsid w:val="00BE65F5"/>
    <w:rsid w:val="00BF0CE0"/>
    <w:rsid w:val="00BF16BE"/>
    <w:rsid w:val="00BF40F3"/>
    <w:rsid w:val="00BF451F"/>
    <w:rsid w:val="00BF4942"/>
    <w:rsid w:val="00BF7B9F"/>
    <w:rsid w:val="00C035A6"/>
    <w:rsid w:val="00C06CBA"/>
    <w:rsid w:val="00C07D82"/>
    <w:rsid w:val="00C1627C"/>
    <w:rsid w:val="00C2083D"/>
    <w:rsid w:val="00C21BA2"/>
    <w:rsid w:val="00C24880"/>
    <w:rsid w:val="00C366BA"/>
    <w:rsid w:val="00C37AC5"/>
    <w:rsid w:val="00C414B0"/>
    <w:rsid w:val="00C41DA0"/>
    <w:rsid w:val="00C4211F"/>
    <w:rsid w:val="00C4313B"/>
    <w:rsid w:val="00C47FEF"/>
    <w:rsid w:val="00C52AF1"/>
    <w:rsid w:val="00C54627"/>
    <w:rsid w:val="00C60246"/>
    <w:rsid w:val="00C60435"/>
    <w:rsid w:val="00C6343B"/>
    <w:rsid w:val="00C63BC8"/>
    <w:rsid w:val="00C64C63"/>
    <w:rsid w:val="00C6634E"/>
    <w:rsid w:val="00C666FB"/>
    <w:rsid w:val="00C67A4A"/>
    <w:rsid w:val="00C70EEA"/>
    <w:rsid w:val="00C71C01"/>
    <w:rsid w:val="00C71E43"/>
    <w:rsid w:val="00C73079"/>
    <w:rsid w:val="00C7455E"/>
    <w:rsid w:val="00C763F6"/>
    <w:rsid w:val="00C816E3"/>
    <w:rsid w:val="00C82124"/>
    <w:rsid w:val="00C823C5"/>
    <w:rsid w:val="00C82B9A"/>
    <w:rsid w:val="00C84DA6"/>
    <w:rsid w:val="00C86E00"/>
    <w:rsid w:val="00C90E6E"/>
    <w:rsid w:val="00C9416A"/>
    <w:rsid w:val="00C956B3"/>
    <w:rsid w:val="00C966DD"/>
    <w:rsid w:val="00C97FE5"/>
    <w:rsid w:val="00CA4945"/>
    <w:rsid w:val="00CA57E0"/>
    <w:rsid w:val="00CB1392"/>
    <w:rsid w:val="00CB2A5F"/>
    <w:rsid w:val="00CB618F"/>
    <w:rsid w:val="00CC0787"/>
    <w:rsid w:val="00CC1006"/>
    <w:rsid w:val="00CC14A8"/>
    <w:rsid w:val="00CC34F3"/>
    <w:rsid w:val="00CC3F2B"/>
    <w:rsid w:val="00CC41F2"/>
    <w:rsid w:val="00CC4853"/>
    <w:rsid w:val="00CC7598"/>
    <w:rsid w:val="00CD0072"/>
    <w:rsid w:val="00CD2525"/>
    <w:rsid w:val="00CD4B40"/>
    <w:rsid w:val="00CD550C"/>
    <w:rsid w:val="00CD5DF4"/>
    <w:rsid w:val="00CE3CEB"/>
    <w:rsid w:val="00CE5941"/>
    <w:rsid w:val="00CE65C8"/>
    <w:rsid w:val="00CE7A38"/>
    <w:rsid w:val="00CF0C2C"/>
    <w:rsid w:val="00CF18AD"/>
    <w:rsid w:val="00CF23B3"/>
    <w:rsid w:val="00CF280E"/>
    <w:rsid w:val="00CF66F9"/>
    <w:rsid w:val="00CF69F4"/>
    <w:rsid w:val="00CF6CDA"/>
    <w:rsid w:val="00D005B6"/>
    <w:rsid w:val="00D00B99"/>
    <w:rsid w:val="00D00C29"/>
    <w:rsid w:val="00D01850"/>
    <w:rsid w:val="00D12487"/>
    <w:rsid w:val="00D164E9"/>
    <w:rsid w:val="00D16A90"/>
    <w:rsid w:val="00D2061B"/>
    <w:rsid w:val="00D21AA2"/>
    <w:rsid w:val="00D21F4E"/>
    <w:rsid w:val="00D22585"/>
    <w:rsid w:val="00D2354F"/>
    <w:rsid w:val="00D249F7"/>
    <w:rsid w:val="00D274A3"/>
    <w:rsid w:val="00D31B4A"/>
    <w:rsid w:val="00D32252"/>
    <w:rsid w:val="00D33B32"/>
    <w:rsid w:val="00D35E35"/>
    <w:rsid w:val="00D401FC"/>
    <w:rsid w:val="00D44326"/>
    <w:rsid w:val="00D452A2"/>
    <w:rsid w:val="00D4555D"/>
    <w:rsid w:val="00D459BE"/>
    <w:rsid w:val="00D4632C"/>
    <w:rsid w:val="00D47E16"/>
    <w:rsid w:val="00D504B9"/>
    <w:rsid w:val="00D50D63"/>
    <w:rsid w:val="00D523B6"/>
    <w:rsid w:val="00D52D62"/>
    <w:rsid w:val="00D5301A"/>
    <w:rsid w:val="00D5345F"/>
    <w:rsid w:val="00D545EE"/>
    <w:rsid w:val="00D55D09"/>
    <w:rsid w:val="00D567C3"/>
    <w:rsid w:val="00D56B13"/>
    <w:rsid w:val="00D57040"/>
    <w:rsid w:val="00D65BF8"/>
    <w:rsid w:val="00D705EF"/>
    <w:rsid w:val="00D7239A"/>
    <w:rsid w:val="00D72BC9"/>
    <w:rsid w:val="00D76AF5"/>
    <w:rsid w:val="00D80871"/>
    <w:rsid w:val="00D82A18"/>
    <w:rsid w:val="00D836F1"/>
    <w:rsid w:val="00D853B5"/>
    <w:rsid w:val="00D854F7"/>
    <w:rsid w:val="00D9029F"/>
    <w:rsid w:val="00D902A5"/>
    <w:rsid w:val="00D92006"/>
    <w:rsid w:val="00D92878"/>
    <w:rsid w:val="00D9639D"/>
    <w:rsid w:val="00D96879"/>
    <w:rsid w:val="00D96D25"/>
    <w:rsid w:val="00D9704E"/>
    <w:rsid w:val="00DA6AD5"/>
    <w:rsid w:val="00DB1758"/>
    <w:rsid w:val="00DB76ED"/>
    <w:rsid w:val="00DC0BDB"/>
    <w:rsid w:val="00DC16C4"/>
    <w:rsid w:val="00DC4283"/>
    <w:rsid w:val="00DC7F4F"/>
    <w:rsid w:val="00DD2818"/>
    <w:rsid w:val="00DD3B7A"/>
    <w:rsid w:val="00DD5078"/>
    <w:rsid w:val="00DD6C2B"/>
    <w:rsid w:val="00DD6F21"/>
    <w:rsid w:val="00DE13E0"/>
    <w:rsid w:val="00DE28F4"/>
    <w:rsid w:val="00DE3A23"/>
    <w:rsid w:val="00DE464F"/>
    <w:rsid w:val="00DE6126"/>
    <w:rsid w:val="00DE638D"/>
    <w:rsid w:val="00DF2855"/>
    <w:rsid w:val="00DF3231"/>
    <w:rsid w:val="00DF32D0"/>
    <w:rsid w:val="00DF5385"/>
    <w:rsid w:val="00DF5E3B"/>
    <w:rsid w:val="00DF7F4F"/>
    <w:rsid w:val="00E01545"/>
    <w:rsid w:val="00E10530"/>
    <w:rsid w:val="00E1451E"/>
    <w:rsid w:val="00E15505"/>
    <w:rsid w:val="00E17AB4"/>
    <w:rsid w:val="00E23FAD"/>
    <w:rsid w:val="00E25726"/>
    <w:rsid w:val="00E25B96"/>
    <w:rsid w:val="00E26190"/>
    <w:rsid w:val="00E27E44"/>
    <w:rsid w:val="00E35598"/>
    <w:rsid w:val="00E37D44"/>
    <w:rsid w:val="00E415B5"/>
    <w:rsid w:val="00E43B55"/>
    <w:rsid w:val="00E46750"/>
    <w:rsid w:val="00E51B89"/>
    <w:rsid w:val="00E53A64"/>
    <w:rsid w:val="00E572DA"/>
    <w:rsid w:val="00E61F59"/>
    <w:rsid w:val="00E62D7B"/>
    <w:rsid w:val="00E65674"/>
    <w:rsid w:val="00E73EBF"/>
    <w:rsid w:val="00E741B0"/>
    <w:rsid w:val="00E7612D"/>
    <w:rsid w:val="00E76E2D"/>
    <w:rsid w:val="00E80DC4"/>
    <w:rsid w:val="00E82D30"/>
    <w:rsid w:val="00E84E63"/>
    <w:rsid w:val="00E86670"/>
    <w:rsid w:val="00E92168"/>
    <w:rsid w:val="00E924C3"/>
    <w:rsid w:val="00E95D37"/>
    <w:rsid w:val="00EA2F67"/>
    <w:rsid w:val="00EA5D99"/>
    <w:rsid w:val="00EA5FBC"/>
    <w:rsid w:val="00EB1D15"/>
    <w:rsid w:val="00EB2797"/>
    <w:rsid w:val="00EB58AA"/>
    <w:rsid w:val="00EC0FBB"/>
    <w:rsid w:val="00EC30DF"/>
    <w:rsid w:val="00EC47A4"/>
    <w:rsid w:val="00ED296F"/>
    <w:rsid w:val="00ED72A4"/>
    <w:rsid w:val="00EE75F5"/>
    <w:rsid w:val="00EF3076"/>
    <w:rsid w:val="00EF3FAC"/>
    <w:rsid w:val="00EF41E6"/>
    <w:rsid w:val="00EF48B8"/>
    <w:rsid w:val="00EF7176"/>
    <w:rsid w:val="00F00C3D"/>
    <w:rsid w:val="00F017D4"/>
    <w:rsid w:val="00F01CF3"/>
    <w:rsid w:val="00F075B4"/>
    <w:rsid w:val="00F10198"/>
    <w:rsid w:val="00F11D1B"/>
    <w:rsid w:val="00F11E0B"/>
    <w:rsid w:val="00F12D74"/>
    <w:rsid w:val="00F14AD9"/>
    <w:rsid w:val="00F1712D"/>
    <w:rsid w:val="00F17806"/>
    <w:rsid w:val="00F17C42"/>
    <w:rsid w:val="00F24A5C"/>
    <w:rsid w:val="00F2637D"/>
    <w:rsid w:val="00F27085"/>
    <w:rsid w:val="00F275D9"/>
    <w:rsid w:val="00F30816"/>
    <w:rsid w:val="00F30F37"/>
    <w:rsid w:val="00F342C1"/>
    <w:rsid w:val="00F35068"/>
    <w:rsid w:val="00F371F9"/>
    <w:rsid w:val="00F4087F"/>
    <w:rsid w:val="00F46C92"/>
    <w:rsid w:val="00F503D5"/>
    <w:rsid w:val="00F509B7"/>
    <w:rsid w:val="00F5284D"/>
    <w:rsid w:val="00F55147"/>
    <w:rsid w:val="00F55E75"/>
    <w:rsid w:val="00F560A3"/>
    <w:rsid w:val="00F57CE2"/>
    <w:rsid w:val="00F6042F"/>
    <w:rsid w:val="00F60475"/>
    <w:rsid w:val="00F6406E"/>
    <w:rsid w:val="00F643D1"/>
    <w:rsid w:val="00F64FB3"/>
    <w:rsid w:val="00F72E71"/>
    <w:rsid w:val="00F73144"/>
    <w:rsid w:val="00F749A2"/>
    <w:rsid w:val="00F74E0A"/>
    <w:rsid w:val="00F770BD"/>
    <w:rsid w:val="00F8132D"/>
    <w:rsid w:val="00F8217F"/>
    <w:rsid w:val="00F86698"/>
    <w:rsid w:val="00F975C5"/>
    <w:rsid w:val="00F97B9C"/>
    <w:rsid w:val="00FA41DE"/>
    <w:rsid w:val="00FA6D02"/>
    <w:rsid w:val="00FB1579"/>
    <w:rsid w:val="00FB1625"/>
    <w:rsid w:val="00FB3689"/>
    <w:rsid w:val="00FB3E10"/>
    <w:rsid w:val="00FB4FB3"/>
    <w:rsid w:val="00FB5FCF"/>
    <w:rsid w:val="00FB7DCE"/>
    <w:rsid w:val="00FC012F"/>
    <w:rsid w:val="00FC6D93"/>
    <w:rsid w:val="00FC78AC"/>
    <w:rsid w:val="00FD7154"/>
    <w:rsid w:val="00FE0409"/>
    <w:rsid w:val="00FE130C"/>
    <w:rsid w:val="00FE301D"/>
    <w:rsid w:val="00FE4304"/>
    <w:rsid w:val="00FE4CCC"/>
    <w:rsid w:val="00FE681C"/>
    <w:rsid w:val="00FF00EA"/>
    <w:rsid w:val="00FF04E0"/>
    <w:rsid w:val="00FF2DF3"/>
    <w:rsid w:val="00FF3A65"/>
    <w:rsid w:val="00FF5D4C"/>
    <w:rsid w:val="00FF634B"/>
    <w:rsid w:val="00FF6D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D521C"/>
  <w15:chartTrackingRefBased/>
  <w15:docId w15:val="{DE76E700-2188-4D04-9218-DE402DD7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63"/>
    <w:pPr>
      <w:spacing w:line="312" w:lineRule="auto"/>
    </w:pPr>
    <w:rPr>
      <w:rFonts w:ascii="Arial" w:hAnsi="Arial"/>
      <w:sz w:val="20"/>
    </w:rPr>
  </w:style>
  <w:style w:type="paragraph" w:styleId="Heading1">
    <w:name w:val="heading 1"/>
    <w:basedOn w:val="Normal"/>
    <w:next w:val="Normal"/>
    <w:link w:val="Heading1Char"/>
    <w:autoRedefine/>
    <w:qFormat/>
    <w:rsid w:val="003D42C0"/>
    <w:pPr>
      <w:keepNext/>
      <w:keepLines/>
      <w:spacing w:after="210"/>
      <w:outlineLvl w:val="0"/>
    </w:pPr>
    <w:rPr>
      <w:rFonts w:eastAsiaTheme="majorEastAsia" w:cstheme="majorBidi"/>
      <w:b/>
      <w:sz w:val="32"/>
      <w:szCs w:val="32"/>
    </w:rPr>
  </w:style>
  <w:style w:type="paragraph" w:styleId="Heading2">
    <w:name w:val="heading 2"/>
    <w:basedOn w:val="Normal"/>
    <w:next w:val="Normal"/>
    <w:link w:val="Heading2Char"/>
    <w:autoRedefine/>
    <w:unhideWhenUsed/>
    <w:qFormat/>
    <w:rsid w:val="00D545EE"/>
    <w:pPr>
      <w:keepNext/>
      <w:keepLines/>
      <w:spacing w:before="160" w:after="120"/>
      <w:outlineLvl w:val="1"/>
    </w:pPr>
    <w:rPr>
      <w:rFonts w:eastAsiaTheme="majorEastAsia" w:cstheme="majorBidi"/>
      <w:b/>
      <w:sz w:val="24"/>
      <w:szCs w:val="28"/>
    </w:rPr>
  </w:style>
  <w:style w:type="paragraph" w:styleId="Heading3">
    <w:name w:val="heading 3"/>
    <w:basedOn w:val="Normal"/>
    <w:next w:val="Normal"/>
    <w:link w:val="Heading3Char"/>
    <w:autoRedefine/>
    <w:unhideWhenUsed/>
    <w:qFormat/>
    <w:rsid w:val="000D44DB"/>
    <w:pPr>
      <w:keepNext/>
      <w:keepLines/>
      <w:spacing w:before="40" w:after="0"/>
      <w:outlineLvl w:val="2"/>
    </w:pPr>
    <w:rPr>
      <w:rFonts w:eastAsiaTheme="majorEastAsia" w:cstheme="majorBidi"/>
      <w:b/>
      <w:sz w:val="24"/>
      <w:szCs w:val="24"/>
      <w:lang w:eastAsia="en-GB"/>
    </w:rPr>
  </w:style>
  <w:style w:type="paragraph" w:styleId="Heading4">
    <w:name w:val="heading 4"/>
    <w:basedOn w:val="Normal"/>
    <w:next w:val="Normal"/>
    <w:link w:val="Heading4Char"/>
    <w:unhideWhenUsed/>
    <w:rsid w:val="004774DC"/>
    <w:pPr>
      <w:spacing w:before="200" w:after="210" w:line="264" w:lineRule="auto"/>
      <w:outlineLvl w:val="3"/>
    </w:pPr>
    <w:rPr>
      <w:rFonts w:ascii="Cambria" w:eastAsia="Times New Roman" w:hAnsi="Cambria" w:cs="Times New Roman"/>
      <w:b/>
      <w:bCs/>
      <w:i/>
      <w:iCs/>
      <w:color w:val="000000" w:themeColor="text1"/>
      <w:lang w:bidi="en-US"/>
    </w:rPr>
  </w:style>
  <w:style w:type="paragraph" w:styleId="Heading5">
    <w:name w:val="heading 5"/>
    <w:basedOn w:val="Normal"/>
    <w:next w:val="Normal"/>
    <w:link w:val="Heading5Char"/>
    <w:unhideWhenUsed/>
    <w:rsid w:val="004774DC"/>
    <w:pPr>
      <w:numPr>
        <w:ilvl w:val="4"/>
        <w:numId w:val="14"/>
      </w:numPr>
      <w:spacing w:before="200" w:after="210" w:line="264" w:lineRule="auto"/>
      <w:outlineLvl w:val="4"/>
    </w:pPr>
    <w:rPr>
      <w:rFonts w:ascii="Cambria" w:eastAsia="Times New Roman" w:hAnsi="Cambria" w:cs="Times New Roman"/>
      <w:b/>
      <w:bCs/>
      <w:color w:val="7F7F7F"/>
      <w:lang w:bidi="en-US"/>
    </w:rPr>
  </w:style>
  <w:style w:type="paragraph" w:styleId="Heading6">
    <w:name w:val="heading 6"/>
    <w:basedOn w:val="Normal"/>
    <w:next w:val="Normal"/>
    <w:link w:val="Heading6Char"/>
    <w:unhideWhenUsed/>
    <w:rsid w:val="004774DC"/>
    <w:pPr>
      <w:numPr>
        <w:ilvl w:val="5"/>
        <w:numId w:val="14"/>
      </w:numPr>
      <w:spacing w:after="210" w:line="271" w:lineRule="auto"/>
      <w:outlineLvl w:val="5"/>
    </w:pPr>
    <w:rPr>
      <w:rFonts w:ascii="Cambria" w:eastAsia="Times New Roman" w:hAnsi="Cambria" w:cs="Times New Roman"/>
      <w:b/>
      <w:bCs/>
      <w:i/>
      <w:iCs/>
      <w:color w:val="7F7F7F"/>
      <w:lang w:bidi="en-US"/>
    </w:rPr>
  </w:style>
  <w:style w:type="paragraph" w:styleId="Heading7">
    <w:name w:val="heading 7"/>
    <w:basedOn w:val="Normal"/>
    <w:next w:val="Normal"/>
    <w:link w:val="Heading7Char"/>
    <w:unhideWhenUsed/>
    <w:rsid w:val="004774DC"/>
    <w:pPr>
      <w:numPr>
        <w:ilvl w:val="6"/>
        <w:numId w:val="14"/>
      </w:numPr>
      <w:spacing w:after="210" w:line="264" w:lineRule="auto"/>
      <w:outlineLvl w:val="6"/>
    </w:pPr>
    <w:rPr>
      <w:rFonts w:ascii="Cambria" w:eastAsia="Times New Roman" w:hAnsi="Cambria" w:cs="Times New Roman"/>
      <w:i/>
      <w:iCs/>
      <w:color w:val="000000" w:themeColor="text1"/>
      <w:lang w:bidi="en-US"/>
    </w:rPr>
  </w:style>
  <w:style w:type="paragraph" w:styleId="Heading8">
    <w:name w:val="heading 8"/>
    <w:basedOn w:val="Normal"/>
    <w:next w:val="Normal"/>
    <w:link w:val="Heading8Char"/>
    <w:unhideWhenUsed/>
    <w:rsid w:val="004774DC"/>
    <w:pPr>
      <w:numPr>
        <w:ilvl w:val="7"/>
        <w:numId w:val="14"/>
      </w:numPr>
      <w:spacing w:after="210" w:line="264" w:lineRule="auto"/>
      <w:outlineLvl w:val="7"/>
    </w:pPr>
    <w:rPr>
      <w:rFonts w:ascii="Cambria" w:eastAsia="Times New Roman" w:hAnsi="Cambria" w:cs="Times New Roman"/>
      <w:color w:val="000000" w:themeColor="text1"/>
      <w:szCs w:val="20"/>
      <w:lang w:bidi="en-US"/>
    </w:rPr>
  </w:style>
  <w:style w:type="paragraph" w:styleId="Heading9">
    <w:name w:val="heading 9"/>
    <w:basedOn w:val="Normal"/>
    <w:next w:val="Normal"/>
    <w:link w:val="Heading9Char"/>
    <w:uiPriority w:val="9"/>
    <w:semiHidden/>
    <w:unhideWhenUsed/>
    <w:qFormat/>
    <w:rsid w:val="004774DC"/>
    <w:pPr>
      <w:numPr>
        <w:ilvl w:val="8"/>
        <w:numId w:val="14"/>
      </w:numPr>
      <w:spacing w:after="210" w:line="264" w:lineRule="auto"/>
      <w:outlineLvl w:val="8"/>
    </w:pPr>
    <w:rPr>
      <w:rFonts w:ascii="Cambria" w:eastAsia="Times New Roman" w:hAnsi="Cambria" w:cs="Times New Roman"/>
      <w:i/>
      <w:iCs/>
      <w:color w:val="000000" w:themeColor="text1"/>
      <w:spacing w:val="5"/>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4D00"/>
    <w:pPr>
      <w:tabs>
        <w:tab w:val="center" w:pos="4513"/>
        <w:tab w:val="right" w:pos="9026"/>
      </w:tabs>
      <w:spacing w:after="0" w:line="240" w:lineRule="auto"/>
    </w:pPr>
  </w:style>
  <w:style w:type="character" w:customStyle="1" w:styleId="HeaderChar">
    <w:name w:val="Header Char"/>
    <w:basedOn w:val="DefaultParagraphFont"/>
    <w:link w:val="Header"/>
    <w:rsid w:val="00704D00"/>
  </w:style>
  <w:style w:type="paragraph" w:styleId="Footer">
    <w:name w:val="footer"/>
    <w:basedOn w:val="Normal"/>
    <w:link w:val="FooterChar"/>
    <w:unhideWhenUsed/>
    <w:rsid w:val="00704D00"/>
    <w:pPr>
      <w:tabs>
        <w:tab w:val="center" w:pos="4513"/>
        <w:tab w:val="right" w:pos="9026"/>
      </w:tabs>
      <w:spacing w:after="0" w:line="240" w:lineRule="auto"/>
    </w:pPr>
  </w:style>
  <w:style w:type="character" w:customStyle="1" w:styleId="FooterChar">
    <w:name w:val="Footer Char"/>
    <w:basedOn w:val="DefaultParagraphFont"/>
    <w:link w:val="Footer"/>
    <w:rsid w:val="00704D00"/>
  </w:style>
  <w:style w:type="table" w:styleId="TableGrid">
    <w:name w:val="Table Grid"/>
    <w:basedOn w:val="TableNormal"/>
    <w:uiPriority w:val="59"/>
    <w:rsid w:val="00D33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2B43BE"/>
    <w:rPr>
      <w:rFonts w:ascii="Arial" w:hAnsi="Arial"/>
      <w:b/>
      <w:color w:val="F596C5" w:themeColor="accent3"/>
      <w:u w:val="single"/>
    </w:rPr>
  </w:style>
  <w:style w:type="character" w:styleId="UnresolvedMention">
    <w:name w:val="Unresolved Mention"/>
    <w:basedOn w:val="DefaultParagraphFont"/>
    <w:uiPriority w:val="99"/>
    <w:semiHidden/>
    <w:unhideWhenUsed/>
    <w:rsid w:val="006626BE"/>
    <w:rPr>
      <w:color w:val="605E5C"/>
      <w:shd w:val="clear" w:color="auto" w:fill="E1DFDD"/>
    </w:rPr>
  </w:style>
  <w:style w:type="paragraph" w:styleId="NoSpacing">
    <w:name w:val="No Spacing"/>
    <w:link w:val="NoSpacingChar"/>
    <w:uiPriority w:val="1"/>
    <w:qFormat/>
    <w:rsid w:val="00A90402"/>
    <w:pPr>
      <w:spacing w:after="0" w:line="240" w:lineRule="auto"/>
    </w:pPr>
    <w:rPr>
      <w:rFonts w:ascii="Arial" w:eastAsiaTheme="minorEastAsia" w:hAnsi="Arial"/>
      <w:lang w:val="en-US"/>
    </w:rPr>
  </w:style>
  <w:style w:type="character" w:customStyle="1" w:styleId="NoSpacingChar">
    <w:name w:val="No Spacing Char"/>
    <w:basedOn w:val="DefaultParagraphFont"/>
    <w:link w:val="NoSpacing"/>
    <w:uiPriority w:val="1"/>
    <w:rsid w:val="00A90402"/>
    <w:rPr>
      <w:rFonts w:ascii="Arial" w:eastAsiaTheme="minorEastAsia" w:hAnsi="Arial"/>
      <w:lang w:val="en-US"/>
    </w:rPr>
  </w:style>
  <w:style w:type="paragraph" w:customStyle="1" w:styleId="Thistle-Head1-10">
    <w:name w:val="Thistle - Head 1 - 1.0"/>
    <w:basedOn w:val="Normal"/>
    <w:qFormat/>
    <w:rsid w:val="00826641"/>
    <w:pPr>
      <w:numPr>
        <w:numId w:val="1"/>
      </w:numPr>
      <w:suppressAutoHyphens/>
      <w:spacing w:before="300" w:after="300"/>
      <w:jc w:val="both"/>
      <w:outlineLvl w:val="0"/>
    </w:pPr>
    <w:rPr>
      <w:rFonts w:eastAsia="Times New Roman" w:cs="Arial"/>
      <w:b/>
      <w:bCs/>
      <w:color w:val="2E2755" w:themeColor="text2"/>
      <w:sz w:val="32"/>
      <w:szCs w:val="32"/>
      <w:lang w:eastAsia="en-GB"/>
    </w:rPr>
  </w:style>
  <w:style w:type="paragraph" w:customStyle="1" w:styleId="Thistle-Head2-11">
    <w:name w:val="Thistle - Head 2 - 1.1"/>
    <w:basedOn w:val="Thistle-Head1-10"/>
    <w:qFormat/>
    <w:rsid w:val="00CF66F9"/>
    <w:pPr>
      <w:numPr>
        <w:ilvl w:val="1"/>
      </w:numPr>
      <w:outlineLvl w:val="1"/>
    </w:pPr>
  </w:style>
  <w:style w:type="paragraph" w:styleId="TOC1">
    <w:name w:val="toc 1"/>
    <w:basedOn w:val="Normal"/>
    <w:next w:val="Normal"/>
    <w:autoRedefine/>
    <w:uiPriority w:val="39"/>
    <w:unhideWhenUsed/>
    <w:rsid w:val="00676D36"/>
    <w:pPr>
      <w:tabs>
        <w:tab w:val="left" w:pos="440"/>
        <w:tab w:val="right" w:leader="dot" w:pos="9016"/>
      </w:tabs>
      <w:spacing w:after="120"/>
    </w:pPr>
    <w:rPr>
      <w:rFonts w:ascii="Verdana" w:eastAsiaTheme="minorEastAsia" w:hAnsi="Verdana"/>
      <w:noProof/>
      <w:szCs w:val="20"/>
      <w:lang w:eastAsia="en-GB"/>
    </w:rPr>
  </w:style>
  <w:style w:type="paragraph" w:customStyle="1" w:styleId="Thistle-Textbody">
    <w:name w:val="Thistle - Text body"/>
    <w:basedOn w:val="Normal"/>
    <w:qFormat/>
    <w:rsid w:val="00EA2F67"/>
    <w:pPr>
      <w:tabs>
        <w:tab w:val="left" w:pos="880"/>
        <w:tab w:val="right" w:leader="dot" w:pos="9016"/>
      </w:tabs>
      <w:spacing w:after="100"/>
    </w:pPr>
    <w:rPr>
      <w:rFonts w:eastAsiaTheme="minorEastAsia"/>
      <w:noProof/>
      <w:lang w:eastAsia="en-GB"/>
    </w:rPr>
  </w:style>
  <w:style w:type="paragraph" w:customStyle="1" w:styleId="Thistle-Head3111">
    <w:name w:val="Thistle - Head 3 1.1.1"/>
    <w:basedOn w:val="Thistle-Head2-11"/>
    <w:qFormat/>
    <w:rsid w:val="00CF66F9"/>
    <w:pPr>
      <w:numPr>
        <w:ilvl w:val="2"/>
      </w:numPr>
      <w:outlineLvl w:val="2"/>
    </w:pPr>
  </w:style>
  <w:style w:type="paragraph" w:styleId="Title">
    <w:name w:val="Title"/>
    <w:basedOn w:val="Normal"/>
    <w:next w:val="Normal"/>
    <w:link w:val="TitleChar"/>
    <w:qFormat/>
    <w:rsid w:val="00870658"/>
    <w:pPr>
      <w:spacing w:after="0" w:line="240" w:lineRule="auto"/>
      <w:contextualSpacing/>
    </w:pPr>
    <w:rPr>
      <w:rFonts w:ascii="Arial Black" w:eastAsiaTheme="majorEastAsia" w:hAnsi="Arial Black" w:cstheme="majorBidi"/>
      <w:b/>
      <w:spacing w:val="-10"/>
      <w:kern w:val="28"/>
      <w:sz w:val="56"/>
      <w:szCs w:val="56"/>
    </w:rPr>
  </w:style>
  <w:style w:type="character" w:customStyle="1" w:styleId="TitleChar">
    <w:name w:val="Title Char"/>
    <w:basedOn w:val="DefaultParagraphFont"/>
    <w:link w:val="Title"/>
    <w:rsid w:val="00870658"/>
    <w:rPr>
      <w:rFonts w:ascii="Arial Black" w:eastAsiaTheme="majorEastAsia" w:hAnsi="Arial Black" w:cstheme="majorBidi"/>
      <w:b/>
      <w:spacing w:val="-10"/>
      <w:kern w:val="28"/>
      <w:sz w:val="56"/>
      <w:szCs w:val="56"/>
    </w:rPr>
  </w:style>
  <w:style w:type="paragraph" w:customStyle="1" w:styleId="ThistleLevel1Bullet">
    <w:name w:val="Thistle Level 1 Bullet"/>
    <w:basedOn w:val="ListParagraph"/>
    <w:link w:val="ThistleLevel1BulletChar"/>
    <w:qFormat/>
    <w:rsid w:val="00EA2F67"/>
    <w:pPr>
      <w:numPr>
        <w:numId w:val="2"/>
      </w:numPr>
      <w:spacing w:before="360" w:after="480"/>
      <w:jc w:val="both"/>
    </w:pPr>
    <w:rPr>
      <w:rFonts w:eastAsiaTheme="minorEastAsia"/>
      <w:szCs w:val="18"/>
    </w:rPr>
  </w:style>
  <w:style w:type="character" w:customStyle="1" w:styleId="ThistleLevel1BulletChar">
    <w:name w:val="Thistle Level 1 Bullet Char"/>
    <w:basedOn w:val="DefaultParagraphFont"/>
    <w:link w:val="ThistleLevel1Bullet"/>
    <w:rsid w:val="00EA2F67"/>
    <w:rPr>
      <w:rFonts w:ascii="Arial" w:eastAsiaTheme="minorEastAsia" w:hAnsi="Arial"/>
      <w:szCs w:val="18"/>
    </w:rPr>
  </w:style>
  <w:style w:type="paragraph" w:styleId="ListParagraph">
    <w:name w:val="List Paragraph"/>
    <w:basedOn w:val="Normal"/>
    <w:uiPriority w:val="34"/>
    <w:qFormat/>
    <w:rsid w:val="00CF66F9"/>
    <w:pPr>
      <w:ind w:left="720"/>
      <w:contextualSpacing/>
    </w:pPr>
  </w:style>
  <w:style w:type="character" w:styleId="PageNumber">
    <w:name w:val="page number"/>
    <w:basedOn w:val="DefaultParagraphFont"/>
    <w:uiPriority w:val="99"/>
    <w:semiHidden/>
    <w:unhideWhenUsed/>
    <w:rsid w:val="00E37D44"/>
  </w:style>
  <w:style w:type="numbering" w:customStyle="1" w:styleId="CurrentList1">
    <w:name w:val="Current List1"/>
    <w:uiPriority w:val="99"/>
    <w:rsid w:val="00BF451F"/>
    <w:pPr>
      <w:numPr>
        <w:numId w:val="3"/>
      </w:numPr>
    </w:pPr>
  </w:style>
  <w:style w:type="numbering" w:customStyle="1" w:styleId="CurrentList2">
    <w:name w:val="Current List2"/>
    <w:uiPriority w:val="99"/>
    <w:rsid w:val="00CC4853"/>
    <w:pPr>
      <w:numPr>
        <w:numId w:val="4"/>
      </w:numPr>
    </w:pPr>
  </w:style>
  <w:style w:type="numbering" w:customStyle="1" w:styleId="CurrentList3">
    <w:name w:val="Current List3"/>
    <w:uiPriority w:val="99"/>
    <w:rsid w:val="00CC4853"/>
    <w:pPr>
      <w:numPr>
        <w:numId w:val="5"/>
      </w:numPr>
    </w:pPr>
  </w:style>
  <w:style w:type="numbering" w:customStyle="1" w:styleId="CurrentList4">
    <w:name w:val="Current List4"/>
    <w:uiPriority w:val="99"/>
    <w:rsid w:val="007463D8"/>
    <w:pPr>
      <w:numPr>
        <w:numId w:val="6"/>
      </w:numPr>
    </w:pPr>
  </w:style>
  <w:style w:type="numbering" w:customStyle="1" w:styleId="CurrentList5">
    <w:name w:val="Current List5"/>
    <w:uiPriority w:val="99"/>
    <w:rsid w:val="00D401FC"/>
    <w:pPr>
      <w:numPr>
        <w:numId w:val="7"/>
      </w:numPr>
    </w:pPr>
  </w:style>
  <w:style w:type="numbering" w:customStyle="1" w:styleId="CurrentList6">
    <w:name w:val="Current List6"/>
    <w:uiPriority w:val="99"/>
    <w:rsid w:val="00C035A6"/>
    <w:pPr>
      <w:numPr>
        <w:numId w:val="8"/>
      </w:numPr>
    </w:pPr>
  </w:style>
  <w:style w:type="numbering" w:customStyle="1" w:styleId="CurrentList7">
    <w:name w:val="Current List7"/>
    <w:uiPriority w:val="99"/>
    <w:rsid w:val="00AC464D"/>
    <w:pPr>
      <w:numPr>
        <w:numId w:val="9"/>
      </w:numPr>
    </w:pPr>
  </w:style>
  <w:style w:type="paragraph" w:customStyle="1" w:styleId="Cover-company">
    <w:name w:val="Cover - company"/>
    <w:basedOn w:val="NoSpacing"/>
    <w:qFormat/>
    <w:rsid w:val="00A56FCB"/>
    <w:pPr>
      <w:framePr w:hSpace="187" w:wrap="around" w:vAnchor="page" w:hAnchor="page" w:x="4296" w:y="4873"/>
      <w:jc w:val="right"/>
    </w:pPr>
    <w:rPr>
      <w:rFonts w:cs="Arial"/>
      <w:b/>
      <w:bCs/>
      <w:color w:val="46DCDC" w:themeColor="accent1"/>
      <w:sz w:val="20"/>
      <w:szCs w:val="20"/>
    </w:rPr>
  </w:style>
  <w:style w:type="character" w:customStyle="1" w:styleId="Heading1Char">
    <w:name w:val="Heading 1 Char"/>
    <w:basedOn w:val="DefaultParagraphFont"/>
    <w:link w:val="Heading1"/>
    <w:rsid w:val="003D42C0"/>
    <w:rPr>
      <w:rFonts w:ascii="Arial" w:eastAsiaTheme="majorEastAsia" w:hAnsi="Arial" w:cstheme="majorBidi"/>
      <w:b/>
      <w:sz w:val="32"/>
      <w:szCs w:val="32"/>
    </w:rPr>
  </w:style>
  <w:style w:type="character" w:customStyle="1" w:styleId="Heading2Char">
    <w:name w:val="Heading 2 Char"/>
    <w:basedOn w:val="DefaultParagraphFont"/>
    <w:link w:val="Heading2"/>
    <w:rsid w:val="00D545EE"/>
    <w:rPr>
      <w:rFonts w:ascii="Arial" w:eastAsiaTheme="majorEastAsia" w:hAnsi="Arial" w:cstheme="majorBidi"/>
      <w:b/>
      <w:sz w:val="24"/>
      <w:szCs w:val="28"/>
    </w:rPr>
  </w:style>
  <w:style w:type="paragraph" w:styleId="Subtitle">
    <w:name w:val="Subtitle"/>
    <w:basedOn w:val="Normal"/>
    <w:next w:val="Normal"/>
    <w:link w:val="SubtitleChar"/>
    <w:uiPriority w:val="11"/>
    <w:qFormat/>
    <w:rsid w:val="0087065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70658"/>
    <w:rPr>
      <w:rFonts w:ascii="Arial" w:eastAsiaTheme="minorEastAsia" w:hAnsi="Arial"/>
      <w:color w:val="5A5A5A" w:themeColor="text1" w:themeTint="A5"/>
      <w:spacing w:val="15"/>
    </w:rPr>
  </w:style>
  <w:style w:type="paragraph" w:customStyle="1" w:styleId="footer-company">
    <w:name w:val="footer - company"/>
    <w:basedOn w:val="Normal"/>
    <w:qFormat/>
    <w:rsid w:val="00A27173"/>
    <w:pPr>
      <w:spacing w:after="0" w:line="240" w:lineRule="auto"/>
      <w:suppressOverlap/>
      <w:jc w:val="right"/>
    </w:pPr>
    <w:rPr>
      <w:rFonts w:cs="Arial"/>
      <w:b/>
      <w:bCs/>
      <w:color w:val="46DCDC" w:themeColor="accent1"/>
      <w:sz w:val="16"/>
      <w:szCs w:val="16"/>
    </w:rPr>
  </w:style>
  <w:style w:type="paragraph" w:customStyle="1" w:styleId="Footer-title">
    <w:name w:val="Footer - title"/>
    <w:basedOn w:val="Normal"/>
    <w:qFormat/>
    <w:rsid w:val="00A56FCB"/>
    <w:pPr>
      <w:spacing w:after="0" w:line="240" w:lineRule="auto"/>
      <w:suppressOverlap/>
      <w:jc w:val="right"/>
    </w:pPr>
    <w:rPr>
      <w:rFonts w:cs="Arial"/>
      <w:b/>
      <w:bCs/>
      <w:color w:val="2E2755" w:themeColor="text2"/>
    </w:rPr>
  </w:style>
  <w:style w:type="paragraph" w:customStyle="1" w:styleId="Footerversion">
    <w:name w:val="Footer version"/>
    <w:basedOn w:val="Footer-title"/>
    <w:qFormat/>
    <w:rsid w:val="00A27173"/>
    <w:rPr>
      <w:b w:val="0"/>
      <w:color w:val="46DCDC" w:themeColor="accent1"/>
      <w:sz w:val="16"/>
      <w:szCs w:val="16"/>
    </w:rPr>
  </w:style>
  <w:style w:type="paragraph" w:customStyle="1" w:styleId="PageNumber1">
    <w:name w:val="Page Number1"/>
    <w:basedOn w:val="Footer"/>
    <w:qFormat/>
    <w:rsid w:val="0020652E"/>
    <w:pPr>
      <w:suppressOverlap/>
    </w:pPr>
    <w:rPr>
      <w:rFonts w:cs="Arial"/>
      <w:b/>
      <w:bCs/>
      <w:color w:val="2E2755" w:themeColor="text2"/>
    </w:rPr>
  </w:style>
  <w:style w:type="paragraph" w:customStyle="1" w:styleId="ContentsTitle">
    <w:name w:val="Contents Title"/>
    <w:basedOn w:val="Thistle-Textbody"/>
    <w:qFormat/>
    <w:rsid w:val="0020652E"/>
    <w:rPr>
      <w:rFonts w:cs="Arial"/>
      <w:b/>
      <w:color w:val="2E2755" w:themeColor="text2"/>
      <w:sz w:val="32"/>
      <w:szCs w:val="32"/>
    </w:rPr>
  </w:style>
  <w:style w:type="numbering" w:customStyle="1" w:styleId="CurrentList8">
    <w:name w:val="Current List8"/>
    <w:uiPriority w:val="99"/>
    <w:rsid w:val="00AE593B"/>
    <w:pPr>
      <w:numPr>
        <w:numId w:val="10"/>
      </w:numPr>
    </w:pPr>
  </w:style>
  <w:style w:type="numbering" w:customStyle="1" w:styleId="CurrentList9">
    <w:name w:val="Current List9"/>
    <w:uiPriority w:val="99"/>
    <w:rsid w:val="00C823C5"/>
    <w:pPr>
      <w:numPr>
        <w:numId w:val="11"/>
      </w:numPr>
    </w:pPr>
  </w:style>
  <w:style w:type="numbering" w:customStyle="1" w:styleId="CurrentList10">
    <w:name w:val="Current List10"/>
    <w:uiPriority w:val="99"/>
    <w:rsid w:val="00060192"/>
    <w:pPr>
      <w:numPr>
        <w:numId w:val="12"/>
      </w:numPr>
    </w:pPr>
  </w:style>
  <w:style w:type="numbering" w:customStyle="1" w:styleId="CurrentList11">
    <w:name w:val="Current List11"/>
    <w:uiPriority w:val="99"/>
    <w:rsid w:val="00826641"/>
    <w:pPr>
      <w:numPr>
        <w:numId w:val="13"/>
      </w:numPr>
    </w:pPr>
  </w:style>
  <w:style w:type="paragraph" w:customStyle="1" w:styleId="GovTablecontents">
    <w:name w:val="Gov Table contents"/>
    <w:basedOn w:val="Normal"/>
    <w:qFormat/>
    <w:rsid w:val="00D80871"/>
    <w:pPr>
      <w:framePr w:hSpace="180" w:wrap="around" w:vAnchor="page" w:hAnchor="margin" w:y="1685"/>
      <w:spacing w:before="60" w:after="60"/>
    </w:pPr>
    <w:rPr>
      <w:rFonts w:cs="Arial"/>
      <w:bCs/>
      <w:sz w:val="16"/>
      <w:szCs w:val="16"/>
    </w:rPr>
  </w:style>
  <w:style w:type="paragraph" w:customStyle="1" w:styleId="Default">
    <w:name w:val="Default"/>
    <w:rsid w:val="00CB2A5F"/>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rsid w:val="000D44DB"/>
    <w:rPr>
      <w:rFonts w:ascii="Arial" w:eastAsiaTheme="majorEastAsia" w:hAnsi="Arial" w:cstheme="majorBidi"/>
      <w:b/>
      <w:sz w:val="24"/>
      <w:szCs w:val="24"/>
      <w:lang w:eastAsia="en-GB"/>
    </w:rPr>
  </w:style>
  <w:style w:type="character" w:customStyle="1" w:styleId="Heading4Char">
    <w:name w:val="Heading 4 Char"/>
    <w:basedOn w:val="DefaultParagraphFont"/>
    <w:link w:val="Heading4"/>
    <w:rsid w:val="004774DC"/>
    <w:rPr>
      <w:rFonts w:ascii="Cambria" w:eastAsia="Times New Roman" w:hAnsi="Cambria" w:cs="Times New Roman"/>
      <w:b/>
      <w:bCs/>
      <w:i/>
      <w:iCs/>
      <w:color w:val="000000" w:themeColor="text1"/>
      <w:sz w:val="20"/>
      <w:lang w:bidi="en-US"/>
    </w:rPr>
  </w:style>
  <w:style w:type="character" w:customStyle="1" w:styleId="Heading5Char">
    <w:name w:val="Heading 5 Char"/>
    <w:basedOn w:val="DefaultParagraphFont"/>
    <w:link w:val="Heading5"/>
    <w:rsid w:val="004774DC"/>
    <w:rPr>
      <w:rFonts w:ascii="Cambria" w:eastAsia="Times New Roman" w:hAnsi="Cambria" w:cs="Times New Roman"/>
      <w:b/>
      <w:bCs/>
      <w:color w:val="7F7F7F"/>
      <w:sz w:val="20"/>
      <w:lang w:bidi="en-US"/>
    </w:rPr>
  </w:style>
  <w:style w:type="character" w:customStyle="1" w:styleId="Heading6Char">
    <w:name w:val="Heading 6 Char"/>
    <w:basedOn w:val="DefaultParagraphFont"/>
    <w:link w:val="Heading6"/>
    <w:rsid w:val="004774DC"/>
    <w:rPr>
      <w:rFonts w:ascii="Cambria" w:eastAsia="Times New Roman" w:hAnsi="Cambria" w:cs="Times New Roman"/>
      <w:b/>
      <w:bCs/>
      <w:i/>
      <w:iCs/>
      <w:color w:val="7F7F7F"/>
      <w:sz w:val="20"/>
      <w:lang w:bidi="en-US"/>
    </w:rPr>
  </w:style>
  <w:style w:type="character" w:customStyle="1" w:styleId="Heading7Char">
    <w:name w:val="Heading 7 Char"/>
    <w:basedOn w:val="DefaultParagraphFont"/>
    <w:link w:val="Heading7"/>
    <w:rsid w:val="004774DC"/>
    <w:rPr>
      <w:rFonts w:ascii="Cambria" w:eastAsia="Times New Roman" w:hAnsi="Cambria" w:cs="Times New Roman"/>
      <w:i/>
      <w:iCs/>
      <w:color w:val="000000" w:themeColor="text1"/>
      <w:sz w:val="20"/>
      <w:lang w:bidi="en-US"/>
    </w:rPr>
  </w:style>
  <w:style w:type="character" w:customStyle="1" w:styleId="Heading8Char">
    <w:name w:val="Heading 8 Char"/>
    <w:basedOn w:val="DefaultParagraphFont"/>
    <w:link w:val="Heading8"/>
    <w:rsid w:val="004774DC"/>
    <w:rPr>
      <w:rFonts w:ascii="Cambria" w:eastAsia="Times New Roman" w:hAnsi="Cambria" w:cs="Times New Roman"/>
      <w:color w:val="000000" w:themeColor="text1"/>
      <w:sz w:val="20"/>
      <w:szCs w:val="20"/>
      <w:lang w:bidi="en-US"/>
    </w:rPr>
  </w:style>
  <w:style w:type="character" w:customStyle="1" w:styleId="Heading9Char">
    <w:name w:val="Heading 9 Char"/>
    <w:basedOn w:val="DefaultParagraphFont"/>
    <w:link w:val="Heading9"/>
    <w:uiPriority w:val="9"/>
    <w:semiHidden/>
    <w:rsid w:val="004774DC"/>
    <w:rPr>
      <w:rFonts w:ascii="Cambria" w:eastAsia="Times New Roman" w:hAnsi="Cambria" w:cs="Times New Roman"/>
      <w:i/>
      <w:iCs/>
      <w:color w:val="000000" w:themeColor="text1"/>
      <w:spacing w:val="5"/>
      <w:sz w:val="20"/>
      <w:szCs w:val="20"/>
      <w:lang w:bidi="en-US"/>
    </w:rPr>
  </w:style>
  <w:style w:type="paragraph" w:styleId="BalloonText">
    <w:name w:val="Balloon Text"/>
    <w:basedOn w:val="Normal"/>
    <w:link w:val="BalloonTextChar"/>
    <w:uiPriority w:val="99"/>
    <w:semiHidden/>
    <w:unhideWhenUsed/>
    <w:rsid w:val="004774DC"/>
    <w:pPr>
      <w:spacing w:after="210" w:line="264" w:lineRule="auto"/>
    </w:pPr>
    <w:rPr>
      <w:rFonts w:ascii="Tahoma" w:eastAsia="Times New Roman" w:hAnsi="Tahoma" w:cs="Tahoma"/>
      <w:color w:val="000000" w:themeColor="text1"/>
      <w:sz w:val="16"/>
      <w:szCs w:val="16"/>
      <w:lang w:bidi="en-US"/>
    </w:rPr>
  </w:style>
  <w:style w:type="character" w:customStyle="1" w:styleId="BalloonTextChar">
    <w:name w:val="Balloon Text Char"/>
    <w:basedOn w:val="DefaultParagraphFont"/>
    <w:link w:val="BalloonText"/>
    <w:uiPriority w:val="99"/>
    <w:semiHidden/>
    <w:rsid w:val="004774DC"/>
    <w:rPr>
      <w:rFonts w:ascii="Tahoma" w:eastAsia="Times New Roman" w:hAnsi="Tahoma" w:cs="Tahoma"/>
      <w:color w:val="000000" w:themeColor="text1"/>
      <w:sz w:val="16"/>
      <w:szCs w:val="16"/>
      <w:lang w:bidi="en-US"/>
    </w:rPr>
  </w:style>
  <w:style w:type="paragraph" w:styleId="Caption">
    <w:name w:val="caption"/>
    <w:basedOn w:val="Normal"/>
    <w:next w:val="Normal"/>
    <w:uiPriority w:val="35"/>
    <w:semiHidden/>
    <w:unhideWhenUsed/>
    <w:rsid w:val="004774DC"/>
    <w:pPr>
      <w:spacing w:after="210" w:line="264" w:lineRule="auto"/>
    </w:pPr>
    <w:rPr>
      <w:rFonts w:ascii="Rockwell Light" w:eastAsia="Times New Roman" w:hAnsi="Rockwell Light" w:cs="Times New Roman"/>
      <w:b/>
      <w:bCs/>
      <w:caps/>
      <w:color w:val="000000" w:themeColor="text1"/>
      <w:sz w:val="16"/>
      <w:szCs w:val="18"/>
      <w:lang w:bidi="en-US"/>
    </w:rPr>
  </w:style>
  <w:style w:type="character" w:styleId="Strong">
    <w:name w:val="Strong"/>
    <w:uiPriority w:val="22"/>
    <w:qFormat/>
    <w:rsid w:val="004774DC"/>
    <w:rPr>
      <w:b/>
      <w:bCs/>
    </w:rPr>
  </w:style>
  <w:style w:type="character" w:styleId="Emphasis">
    <w:name w:val="Emphasis"/>
    <w:uiPriority w:val="20"/>
    <w:qFormat/>
    <w:rsid w:val="004774DC"/>
    <w:rPr>
      <w:b/>
      <w:bCs/>
      <w:i/>
      <w:iCs/>
      <w:spacing w:val="10"/>
      <w:bdr w:val="none" w:sz="0" w:space="0" w:color="auto"/>
      <w:shd w:val="clear" w:color="auto" w:fill="auto"/>
    </w:rPr>
  </w:style>
  <w:style w:type="paragraph" w:styleId="Quote">
    <w:name w:val="Quote"/>
    <w:basedOn w:val="Normal"/>
    <w:next w:val="Normal"/>
    <w:link w:val="QuoteChar"/>
    <w:uiPriority w:val="29"/>
    <w:qFormat/>
    <w:rsid w:val="004774DC"/>
    <w:pPr>
      <w:spacing w:before="200" w:after="210" w:line="264" w:lineRule="auto"/>
      <w:ind w:left="360" w:right="360"/>
    </w:pPr>
    <w:rPr>
      <w:rFonts w:ascii="Rockwell Light" w:eastAsia="Times New Roman" w:hAnsi="Rockwell Light" w:cs="Times New Roman"/>
      <w:i/>
      <w:iCs/>
      <w:color w:val="000000" w:themeColor="text1"/>
      <w:lang w:bidi="en-US"/>
    </w:rPr>
  </w:style>
  <w:style w:type="character" w:customStyle="1" w:styleId="QuoteChar">
    <w:name w:val="Quote Char"/>
    <w:basedOn w:val="DefaultParagraphFont"/>
    <w:link w:val="Quote"/>
    <w:uiPriority w:val="29"/>
    <w:rsid w:val="004774DC"/>
    <w:rPr>
      <w:rFonts w:ascii="Rockwell Light" w:eastAsia="Times New Roman" w:hAnsi="Rockwell Light" w:cs="Times New Roman"/>
      <w:i/>
      <w:iCs/>
      <w:color w:val="000000" w:themeColor="text1"/>
      <w:sz w:val="20"/>
      <w:lang w:bidi="en-US"/>
    </w:rPr>
  </w:style>
  <w:style w:type="paragraph" w:styleId="IntenseQuote">
    <w:name w:val="Intense Quote"/>
    <w:basedOn w:val="Normal"/>
    <w:next w:val="Normal"/>
    <w:link w:val="IntenseQuoteChar"/>
    <w:uiPriority w:val="30"/>
    <w:qFormat/>
    <w:rsid w:val="004774DC"/>
    <w:pPr>
      <w:pBdr>
        <w:bottom w:val="single" w:sz="4" w:space="1" w:color="auto"/>
      </w:pBdr>
      <w:spacing w:before="200" w:after="280" w:line="264" w:lineRule="auto"/>
      <w:ind w:left="1008" w:right="1152"/>
      <w:jc w:val="both"/>
    </w:pPr>
    <w:rPr>
      <w:rFonts w:ascii="Rockwell Light" w:eastAsia="Times New Roman" w:hAnsi="Rockwell Light" w:cs="Times New Roman"/>
      <w:b/>
      <w:bCs/>
      <w:i/>
      <w:iCs/>
      <w:color w:val="000000" w:themeColor="text1"/>
      <w:lang w:bidi="en-US"/>
    </w:rPr>
  </w:style>
  <w:style w:type="character" w:customStyle="1" w:styleId="IntenseQuoteChar">
    <w:name w:val="Intense Quote Char"/>
    <w:basedOn w:val="DefaultParagraphFont"/>
    <w:link w:val="IntenseQuote"/>
    <w:uiPriority w:val="30"/>
    <w:rsid w:val="004774DC"/>
    <w:rPr>
      <w:rFonts w:ascii="Rockwell Light" w:eastAsia="Times New Roman" w:hAnsi="Rockwell Light" w:cs="Times New Roman"/>
      <w:b/>
      <w:bCs/>
      <w:i/>
      <w:iCs/>
      <w:color w:val="000000" w:themeColor="text1"/>
      <w:sz w:val="20"/>
      <w:lang w:bidi="en-US"/>
    </w:rPr>
  </w:style>
  <w:style w:type="character" w:styleId="SubtleEmphasis">
    <w:name w:val="Subtle Emphasis"/>
    <w:uiPriority w:val="19"/>
    <w:qFormat/>
    <w:rsid w:val="004774DC"/>
    <w:rPr>
      <w:i/>
      <w:iCs/>
    </w:rPr>
  </w:style>
  <w:style w:type="character" w:styleId="IntenseEmphasis">
    <w:name w:val="Intense Emphasis"/>
    <w:uiPriority w:val="21"/>
    <w:qFormat/>
    <w:rsid w:val="004774DC"/>
    <w:rPr>
      <w:b/>
      <w:bCs/>
    </w:rPr>
  </w:style>
  <w:style w:type="character" w:styleId="SubtleReference">
    <w:name w:val="Subtle Reference"/>
    <w:uiPriority w:val="31"/>
    <w:qFormat/>
    <w:rsid w:val="004774DC"/>
    <w:rPr>
      <w:smallCaps/>
    </w:rPr>
  </w:style>
  <w:style w:type="character" w:styleId="IntenseReference">
    <w:name w:val="Intense Reference"/>
    <w:uiPriority w:val="32"/>
    <w:qFormat/>
    <w:rsid w:val="004774DC"/>
    <w:rPr>
      <w:smallCaps/>
      <w:spacing w:val="5"/>
      <w:u w:val="single"/>
    </w:rPr>
  </w:style>
  <w:style w:type="character" w:styleId="BookTitle">
    <w:name w:val="Book Title"/>
    <w:uiPriority w:val="33"/>
    <w:qFormat/>
    <w:rsid w:val="004774DC"/>
    <w:rPr>
      <w:i/>
      <w:iCs/>
      <w:smallCaps/>
      <w:spacing w:val="5"/>
    </w:rPr>
  </w:style>
  <w:style w:type="paragraph" w:styleId="TOCHeading">
    <w:name w:val="TOC Heading"/>
    <w:basedOn w:val="Heading1"/>
    <w:next w:val="Normal"/>
    <w:uiPriority w:val="39"/>
    <w:unhideWhenUsed/>
    <w:qFormat/>
    <w:rsid w:val="004774DC"/>
    <w:pPr>
      <w:keepNext w:val="0"/>
      <w:keepLines w:val="0"/>
      <w:spacing w:line="264" w:lineRule="auto"/>
      <w:contextualSpacing/>
      <w:outlineLvl w:val="9"/>
    </w:pPr>
    <w:rPr>
      <w:rFonts w:eastAsia="Times New Roman" w:cs="Times New Roman"/>
      <w:b w:val="0"/>
      <w:bCs/>
      <w:szCs w:val="28"/>
      <w:lang w:bidi="en-US"/>
    </w:rPr>
  </w:style>
  <w:style w:type="paragraph" w:styleId="TOC2">
    <w:name w:val="toc 2"/>
    <w:basedOn w:val="Normal"/>
    <w:next w:val="Normal"/>
    <w:autoRedefine/>
    <w:uiPriority w:val="39"/>
    <w:unhideWhenUsed/>
    <w:rsid w:val="004774DC"/>
    <w:pPr>
      <w:tabs>
        <w:tab w:val="left" w:pos="567"/>
        <w:tab w:val="right" w:pos="9072"/>
      </w:tabs>
      <w:spacing w:after="210" w:line="264" w:lineRule="auto"/>
    </w:pPr>
    <w:rPr>
      <w:rFonts w:ascii="Rockwell Light" w:eastAsia="Times New Roman" w:hAnsi="Rockwell Light" w:cs="Times New Roman"/>
      <w:color w:val="000000" w:themeColor="text1"/>
      <w:lang w:bidi="en-US"/>
    </w:rPr>
  </w:style>
  <w:style w:type="paragraph" w:styleId="TOC3">
    <w:name w:val="toc 3"/>
    <w:basedOn w:val="Normal"/>
    <w:next w:val="Normal"/>
    <w:autoRedefine/>
    <w:uiPriority w:val="39"/>
    <w:unhideWhenUsed/>
    <w:rsid w:val="004774DC"/>
    <w:pPr>
      <w:tabs>
        <w:tab w:val="left" w:pos="567"/>
        <w:tab w:val="right" w:pos="9072"/>
      </w:tabs>
      <w:spacing w:after="210" w:line="264" w:lineRule="auto"/>
    </w:pPr>
    <w:rPr>
      <w:rFonts w:ascii="Rockwell Light" w:eastAsia="Times New Roman" w:hAnsi="Rockwell Light" w:cs="Times New Roman"/>
      <w:color w:val="000000" w:themeColor="text1"/>
      <w:lang w:bidi="en-US"/>
    </w:rPr>
  </w:style>
  <w:style w:type="paragraph" w:customStyle="1" w:styleId="AppendixHeading">
    <w:name w:val="Appendix Heading"/>
    <w:next w:val="Normal"/>
    <w:link w:val="AppendixHeadingChar"/>
    <w:autoRedefine/>
    <w:qFormat/>
    <w:rsid w:val="004774DC"/>
    <w:pPr>
      <w:numPr>
        <w:ilvl w:val="3"/>
        <w:numId w:val="14"/>
      </w:numPr>
      <w:spacing w:after="210" w:line="264" w:lineRule="auto"/>
    </w:pPr>
    <w:rPr>
      <w:rFonts w:ascii="Calibri" w:eastAsia="Times New Roman" w:hAnsi="Calibri" w:cs="Times New Roman"/>
      <w:b/>
      <w:bCs/>
      <w:color w:val="46DCDC" w:themeColor="accent1"/>
      <w:sz w:val="32"/>
      <w:szCs w:val="28"/>
      <w:lang w:val="en-US" w:bidi="en-US"/>
    </w:rPr>
  </w:style>
  <w:style w:type="character" w:customStyle="1" w:styleId="AppendixHeadingChar">
    <w:name w:val="Appendix Heading Char"/>
    <w:basedOn w:val="Heading1Char"/>
    <w:link w:val="AppendixHeading"/>
    <w:rsid w:val="004774DC"/>
    <w:rPr>
      <w:rFonts w:ascii="Calibri" w:eastAsia="Times New Roman" w:hAnsi="Calibri" w:cs="Times New Roman"/>
      <w:b/>
      <w:bCs/>
      <w:color w:val="46DCDC" w:themeColor="accent1"/>
      <w:sz w:val="32"/>
      <w:szCs w:val="28"/>
      <w:lang w:val="en-US" w:bidi="en-US"/>
    </w:rPr>
  </w:style>
  <w:style w:type="character" w:styleId="CommentReference">
    <w:name w:val="annotation reference"/>
    <w:basedOn w:val="DefaultParagraphFont"/>
    <w:uiPriority w:val="99"/>
    <w:semiHidden/>
    <w:unhideWhenUsed/>
    <w:rsid w:val="004774DC"/>
    <w:rPr>
      <w:sz w:val="16"/>
      <w:szCs w:val="16"/>
    </w:rPr>
  </w:style>
  <w:style w:type="paragraph" w:styleId="CommentText">
    <w:name w:val="annotation text"/>
    <w:basedOn w:val="Normal"/>
    <w:link w:val="CommentTextChar"/>
    <w:uiPriority w:val="99"/>
    <w:unhideWhenUsed/>
    <w:rsid w:val="004774DC"/>
    <w:pPr>
      <w:spacing w:after="210" w:line="264" w:lineRule="auto"/>
    </w:pPr>
    <w:rPr>
      <w:rFonts w:ascii="Rockwell Light" w:eastAsia="Times New Roman" w:hAnsi="Rockwell Light" w:cs="Times New Roman"/>
      <w:color w:val="000000" w:themeColor="text1"/>
      <w:szCs w:val="20"/>
      <w:lang w:bidi="en-US"/>
    </w:rPr>
  </w:style>
  <w:style w:type="character" w:customStyle="1" w:styleId="CommentTextChar">
    <w:name w:val="Comment Text Char"/>
    <w:basedOn w:val="DefaultParagraphFont"/>
    <w:link w:val="CommentText"/>
    <w:uiPriority w:val="99"/>
    <w:rsid w:val="004774DC"/>
    <w:rPr>
      <w:rFonts w:ascii="Rockwell Light" w:eastAsia="Times New Roman" w:hAnsi="Rockwell Light" w:cs="Times New Roman"/>
      <w:color w:val="000000" w:themeColor="text1"/>
      <w:sz w:val="20"/>
      <w:szCs w:val="20"/>
      <w:lang w:bidi="en-US"/>
    </w:rPr>
  </w:style>
  <w:style w:type="paragraph" w:styleId="CommentSubject">
    <w:name w:val="annotation subject"/>
    <w:basedOn w:val="CommentText"/>
    <w:next w:val="CommentText"/>
    <w:link w:val="CommentSubjectChar"/>
    <w:uiPriority w:val="99"/>
    <w:semiHidden/>
    <w:unhideWhenUsed/>
    <w:rsid w:val="004774DC"/>
    <w:rPr>
      <w:b/>
      <w:bCs/>
    </w:rPr>
  </w:style>
  <w:style w:type="character" w:customStyle="1" w:styleId="CommentSubjectChar">
    <w:name w:val="Comment Subject Char"/>
    <w:basedOn w:val="CommentTextChar"/>
    <w:link w:val="CommentSubject"/>
    <w:uiPriority w:val="99"/>
    <w:semiHidden/>
    <w:rsid w:val="004774DC"/>
    <w:rPr>
      <w:rFonts w:ascii="Rockwell Light" w:eastAsia="Times New Roman" w:hAnsi="Rockwell Light" w:cs="Times New Roman"/>
      <w:b/>
      <w:bCs/>
      <w:color w:val="000000" w:themeColor="text1"/>
      <w:sz w:val="20"/>
      <w:szCs w:val="20"/>
      <w:lang w:bidi="en-US"/>
    </w:rPr>
  </w:style>
  <w:style w:type="paragraph" w:customStyle="1" w:styleId="CoverPage-Title">
    <w:name w:val="Cover Page - Title"/>
    <w:basedOn w:val="NoSpacing"/>
    <w:autoRedefine/>
    <w:qFormat/>
    <w:rsid w:val="004774DC"/>
    <w:pPr>
      <w:framePr w:hSpace="187" w:wrap="around" w:vAnchor="page" w:hAnchor="margin" w:xAlign="right" w:y="5654"/>
    </w:pPr>
    <w:rPr>
      <w:rFonts w:eastAsiaTheme="majorEastAsia" w:cstheme="majorBidi"/>
      <w:b/>
      <w:color w:val="46DCDC" w:themeColor="accent1"/>
      <w:sz w:val="32"/>
      <w:szCs w:val="36"/>
      <w:lang w:val="en-GB" w:bidi="en-US"/>
    </w:rPr>
  </w:style>
  <w:style w:type="paragraph" w:customStyle="1" w:styleId="CoverPage-Date">
    <w:name w:val="Cover Page - Date"/>
    <w:basedOn w:val="NoSpacing"/>
    <w:autoRedefine/>
    <w:qFormat/>
    <w:rsid w:val="004774DC"/>
    <w:pPr>
      <w:framePr w:hSpace="187" w:wrap="around" w:vAnchor="page" w:hAnchor="margin" w:xAlign="right" w:y="5654"/>
      <w:ind w:left="-472"/>
    </w:pPr>
    <w:rPr>
      <w:rFonts w:eastAsiaTheme="majorEastAsia" w:cstheme="majorBidi"/>
      <w:b/>
      <w:color w:val="000000" w:themeColor="text1"/>
      <w:sz w:val="32"/>
      <w:szCs w:val="40"/>
      <w:lang w:val="en-GB" w:bidi="en-US"/>
    </w:rPr>
  </w:style>
  <w:style w:type="table" w:customStyle="1" w:styleId="PlainTable31">
    <w:name w:val="Plain Table 31"/>
    <w:basedOn w:val="TableNormal"/>
    <w:uiPriority w:val="43"/>
    <w:rsid w:val="004774DC"/>
    <w:pPr>
      <w:spacing w:after="0" w:line="240" w:lineRule="auto"/>
    </w:pPr>
    <w:rPr>
      <w:rFonts w:ascii="Calibri" w:eastAsia="Times New Roman" w:hAnsi="Calibri" w:cs="Times New Roman"/>
      <w:sz w:val="20"/>
      <w:szCs w:val="20"/>
    </w:rPr>
    <w:tblPr>
      <w:tblStyleRowBandSize w:val="1"/>
      <w:tblStyleCol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blStylePr w:type="firstRow">
      <w:rPr>
        <w:b/>
        <w:bCs/>
        <w:caps/>
      </w:rPr>
      <w:tblPr/>
      <w:tcPr>
        <w:tcBorders>
          <w:bottom w:val="nil"/>
        </w:tcBorders>
      </w:tcPr>
    </w:tblStylePr>
    <w:tblStylePr w:type="lastRow">
      <w:rPr>
        <w:b/>
        <w:bCs/>
        <w:caps/>
      </w:rPr>
      <w:tblPr/>
      <w:tcPr>
        <w:tcBorders>
          <w:top w:val="nil"/>
        </w:tcBorders>
      </w:tcPr>
    </w:tblStylePr>
    <w:tblStylePr w:type="firstCol">
      <w:rPr>
        <w:b/>
        <w:bCs/>
        <w:caps/>
      </w:rPr>
      <w:tblPr/>
      <w:tcPr>
        <w:tcBorders>
          <w:right w:val="single" w:sz="6" w:space="0" w:color="FFFFFF" w:themeColor="background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Header-Copyright">
    <w:name w:val="Header - Copyright"/>
    <w:basedOn w:val="Normal"/>
    <w:link w:val="Header-CopyrightChar"/>
    <w:autoRedefine/>
    <w:qFormat/>
    <w:rsid w:val="004774DC"/>
    <w:pPr>
      <w:spacing w:after="0" w:line="240" w:lineRule="auto"/>
      <w:jc w:val="right"/>
    </w:pPr>
    <w:rPr>
      <w:rFonts w:eastAsia="Times New Roman" w:cs="Times New Roman"/>
      <w:color w:val="808080" w:themeColor="background1" w:themeShade="80"/>
      <w:sz w:val="18"/>
      <w:szCs w:val="72"/>
      <w:lang w:bidi="en-US"/>
    </w:rPr>
  </w:style>
  <w:style w:type="paragraph" w:customStyle="1" w:styleId="Footer-PageNumber">
    <w:name w:val="Footer - Page Number"/>
    <w:basedOn w:val="Footer"/>
    <w:next w:val="Footer-Title0"/>
    <w:link w:val="Footer-PageNumberChar"/>
    <w:autoRedefine/>
    <w:qFormat/>
    <w:rsid w:val="004774DC"/>
    <w:pPr>
      <w:jc w:val="right"/>
    </w:pPr>
    <w:rPr>
      <w:rFonts w:eastAsiaTheme="minorEastAsia"/>
      <w:b/>
      <w:color w:val="46DCDC" w:themeColor="accent1"/>
      <w:sz w:val="16"/>
      <w:szCs w:val="16"/>
      <w:lang w:bidi="en-US"/>
    </w:rPr>
  </w:style>
  <w:style w:type="paragraph" w:customStyle="1" w:styleId="Footer-Title0">
    <w:name w:val="Footer - Title"/>
    <w:basedOn w:val="Footer-PageNumber"/>
    <w:link w:val="Footer-TitleChar"/>
    <w:qFormat/>
    <w:rsid w:val="004774DC"/>
    <w:rPr>
      <w:bCs/>
      <w:caps/>
      <w:color w:val="000000" w:themeColor="text1"/>
    </w:rPr>
  </w:style>
  <w:style w:type="table" w:customStyle="1" w:styleId="ATEBTable">
    <w:name w:val="ATEB Table"/>
    <w:basedOn w:val="TableNormal"/>
    <w:uiPriority w:val="99"/>
    <w:rsid w:val="004774DC"/>
    <w:pPr>
      <w:spacing w:after="210" w:line="240" w:lineRule="auto"/>
      <w:contextualSpacing/>
    </w:pPr>
    <w:rPr>
      <w:rFonts w:ascii="Calibri" w:eastAsia="Times New Roman" w:hAnsi="Calibri" w:cs="Times New Roman"/>
      <w:sz w:val="20"/>
      <w:szCs w:val="20"/>
    </w:rPr>
    <w:tblPr>
      <w:tblStyleRowBandSize w:val="1"/>
      <w:tblBorders>
        <w:insideH w:val="single" w:sz="24" w:space="0" w:color="FFFFFF"/>
        <w:insideV w:val="single" w:sz="24" w:space="0" w:color="FFFFFF"/>
      </w:tblBorders>
      <w:tblCellMar>
        <w:top w:w="57" w:type="dxa"/>
        <w:left w:w="113" w:type="dxa"/>
        <w:bottom w:w="57" w:type="dxa"/>
        <w:right w:w="113" w:type="dxa"/>
      </w:tblCellMar>
    </w:tblPr>
    <w:tcPr>
      <w:shd w:val="clear" w:color="auto" w:fill="FFFFFF" w:themeFill="background1"/>
    </w:tc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styleId="BodyText">
    <w:name w:val="Body Text"/>
    <w:basedOn w:val="Normal"/>
    <w:link w:val="BodyTextChar"/>
    <w:uiPriority w:val="1"/>
    <w:qFormat/>
    <w:rsid w:val="004774DC"/>
    <w:pPr>
      <w:spacing w:after="0" w:line="240" w:lineRule="auto"/>
      <w:jc w:val="both"/>
    </w:pPr>
    <w:rPr>
      <w:rFonts w:eastAsia="Times New Roman" w:cs="Arial"/>
      <w:bCs/>
      <w:color w:val="000000" w:themeColor="text1"/>
      <w:sz w:val="24"/>
      <w:szCs w:val="32"/>
      <w:lang w:eastAsia="en-GB"/>
    </w:rPr>
  </w:style>
  <w:style w:type="character" w:customStyle="1" w:styleId="BodyTextChar">
    <w:name w:val="Body Text Char"/>
    <w:basedOn w:val="DefaultParagraphFont"/>
    <w:link w:val="BodyText"/>
    <w:uiPriority w:val="1"/>
    <w:rsid w:val="004774DC"/>
    <w:rPr>
      <w:rFonts w:ascii="Arial" w:eastAsia="Times New Roman" w:hAnsi="Arial" w:cs="Arial"/>
      <w:bCs/>
      <w:color w:val="000000" w:themeColor="text1"/>
      <w:sz w:val="24"/>
      <w:szCs w:val="32"/>
      <w:lang w:eastAsia="en-GB"/>
    </w:rPr>
  </w:style>
  <w:style w:type="paragraph" w:styleId="BodyText2">
    <w:name w:val="Body Text 2"/>
    <w:basedOn w:val="Normal"/>
    <w:link w:val="BodyText2Char"/>
    <w:semiHidden/>
    <w:rsid w:val="004774DC"/>
    <w:pPr>
      <w:spacing w:after="0" w:line="240" w:lineRule="auto"/>
      <w:jc w:val="both"/>
    </w:pPr>
    <w:rPr>
      <w:rFonts w:eastAsia="Times New Roman" w:cs="Arial"/>
      <w:color w:val="FF0000"/>
      <w:sz w:val="24"/>
      <w:szCs w:val="24"/>
      <w:lang w:eastAsia="en-GB"/>
    </w:rPr>
  </w:style>
  <w:style w:type="character" w:customStyle="1" w:styleId="BodyText2Char">
    <w:name w:val="Body Text 2 Char"/>
    <w:basedOn w:val="DefaultParagraphFont"/>
    <w:link w:val="BodyText2"/>
    <w:semiHidden/>
    <w:rsid w:val="004774DC"/>
    <w:rPr>
      <w:rFonts w:ascii="Arial" w:eastAsia="Times New Roman" w:hAnsi="Arial" w:cs="Arial"/>
      <w:color w:val="FF0000"/>
      <w:sz w:val="24"/>
      <w:szCs w:val="24"/>
      <w:lang w:eastAsia="en-GB"/>
    </w:rPr>
  </w:style>
  <w:style w:type="paragraph" w:styleId="BodyText3">
    <w:name w:val="Body Text 3"/>
    <w:basedOn w:val="Normal"/>
    <w:link w:val="BodyText3Char"/>
    <w:semiHidden/>
    <w:rsid w:val="004774DC"/>
    <w:pPr>
      <w:spacing w:after="120" w:line="240" w:lineRule="auto"/>
    </w:pPr>
    <w:rPr>
      <w:rFonts w:ascii="Times New Roman" w:eastAsia="Times New Roman" w:hAnsi="Times New Roman" w:cs="Times New Roman"/>
      <w:color w:val="000000" w:themeColor="text1"/>
      <w:sz w:val="16"/>
      <w:szCs w:val="16"/>
      <w:lang w:eastAsia="en-GB"/>
    </w:rPr>
  </w:style>
  <w:style w:type="character" w:customStyle="1" w:styleId="BodyText3Char">
    <w:name w:val="Body Text 3 Char"/>
    <w:basedOn w:val="DefaultParagraphFont"/>
    <w:link w:val="BodyText3"/>
    <w:semiHidden/>
    <w:rsid w:val="004774DC"/>
    <w:rPr>
      <w:rFonts w:ascii="Times New Roman" w:eastAsia="Times New Roman" w:hAnsi="Times New Roman" w:cs="Times New Roman"/>
      <w:color w:val="000000" w:themeColor="text1"/>
      <w:sz w:val="16"/>
      <w:szCs w:val="16"/>
      <w:lang w:eastAsia="en-GB"/>
    </w:rPr>
  </w:style>
  <w:style w:type="paragraph" w:styleId="BodyTextIndent">
    <w:name w:val="Body Text Indent"/>
    <w:basedOn w:val="Normal"/>
    <w:link w:val="BodyTextIndentChar"/>
    <w:semiHidden/>
    <w:rsid w:val="004774DC"/>
    <w:pPr>
      <w:spacing w:after="0" w:line="240" w:lineRule="auto"/>
      <w:ind w:left="720" w:hanging="720"/>
    </w:pPr>
    <w:rPr>
      <w:rFonts w:ascii="Tahoma" w:eastAsia="Times New Roman" w:hAnsi="Tahoma" w:cs="Tahoma"/>
      <w:color w:val="000000" w:themeColor="text1"/>
      <w:sz w:val="24"/>
      <w:szCs w:val="24"/>
    </w:rPr>
  </w:style>
  <w:style w:type="character" w:customStyle="1" w:styleId="BodyTextIndentChar">
    <w:name w:val="Body Text Indent Char"/>
    <w:basedOn w:val="DefaultParagraphFont"/>
    <w:link w:val="BodyTextIndent"/>
    <w:semiHidden/>
    <w:rsid w:val="004774DC"/>
    <w:rPr>
      <w:rFonts w:ascii="Tahoma" w:eastAsia="Times New Roman" w:hAnsi="Tahoma" w:cs="Tahoma"/>
      <w:color w:val="000000" w:themeColor="text1"/>
      <w:sz w:val="24"/>
      <w:szCs w:val="24"/>
    </w:rPr>
  </w:style>
  <w:style w:type="paragraph" w:customStyle="1" w:styleId="Footer-SubTitle">
    <w:name w:val="Footer - Sub Title"/>
    <w:basedOn w:val="Footer-PageNumber"/>
    <w:link w:val="Footer-SubTitleChar"/>
    <w:autoRedefine/>
    <w:qFormat/>
    <w:rsid w:val="004774DC"/>
    <w:rPr>
      <w:lang w:eastAsia="en-GB"/>
    </w:rPr>
  </w:style>
  <w:style w:type="character" w:customStyle="1" w:styleId="Footer-PageNumberChar">
    <w:name w:val="Footer - Page Number Char"/>
    <w:basedOn w:val="FooterChar"/>
    <w:link w:val="Footer-PageNumber"/>
    <w:rsid w:val="004774DC"/>
    <w:rPr>
      <w:rFonts w:ascii="Arial" w:eastAsiaTheme="minorEastAsia" w:hAnsi="Arial"/>
      <w:b/>
      <w:color w:val="46DCDC" w:themeColor="accent1"/>
      <w:sz w:val="16"/>
      <w:szCs w:val="16"/>
      <w:lang w:bidi="en-US"/>
    </w:rPr>
  </w:style>
  <w:style w:type="paragraph" w:styleId="NormalWeb">
    <w:name w:val="Normal (Web)"/>
    <w:basedOn w:val="Normal"/>
    <w:uiPriority w:val="99"/>
    <w:unhideWhenUsed/>
    <w:rsid w:val="004774DC"/>
    <w:pPr>
      <w:spacing w:before="100" w:beforeAutospacing="1" w:after="100" w:afterAutospacing="1" w:line="240" w:lineRule="auto"/>
    </w:pPr>
    <w:rPr>
      <w:rFonts w:ascii="Times New Roman" w:eastAsia="Times New Roman" w:hAnsi="Times New Roman" w:cs="Times New Roman"/>
      <w:color w:val="000000" w:themeColor="text1"/>
      <w:sz w:val="24"/>
      <w:szCs w:val="24"/>
      <w:lang w:eastAsia="en-GB"/>
    </w:rPr>
  </w:style>
  <w:style w:type="character" w:customStyle="1" w:styleId="Footer-SubTitleChar">
    <w:name w:val="Footer - Sub Title Char"/>
    <w:basedOn w:val="Footer-PageNumberChar"/>
    <w:link w:val="Footer-SubTitle"/>
    <w:rsid w:val="004774DC"/>
    <w:rPr>
      <w:rFonts w:ascii="Arial" w:eastAsiaTheme="minorEastAsia" w:hAnsi="Arial"/>
      <w:b/>
      <w:color w:val="46DCDC" w:themeColor="accent1"/>
      <w:sz w:val="16"/>
      <w:szCs w:val="16"/>
      <w:lang w:eastAsia="en-GB" w:bidi="en-US"/>
    </w:rPr>
  </w:style>
  <w:style w:type="character" w:customStyle="1" w:styleId="Footer-TitleChar">
    <w:name w:val="Footer - Title Char"/>
    <w:basedOn w:val="Footer-PageNumberChar"/>
    <w:link w:val="Footer-Title0"/>
    <w:rsid w:val="004774DC"/>
    <w:rPr>
      <w:rFonts w:ascii="Arial" w:eastAsiaTheme="minorEastAsia" w:hAnsi="Arial"/>
      <w:b/>
      <w:bCs/>
      <w:caps/>
      <w:color w:val="000000" w:themeColor="text1"/>
      <w:sz w:val="16"/>
      <w:szCs w:val="16"/>
      <w:lang w:bidi="en-US"/>
    </w:rPr>
  </w:style>
  <w:style w:type="character" w:styleId="FollowedHyperlink">
    <w:name w:val="FollowedHyperlink"/>
    <w:basedOn w:val="DefaultParagraphFont"/>
    <w:uiPriority w:val="99"/>
    <w:semiHidden/>
    <w:unhideWhenUsed/>
    <w:rsid w:val="004774DC"/>
    <w:rPr>
      <w:color w:val="954F72" w:themeColor="followedHyperlink"/>
      <w:u w:val="single"/>
    </w:rPr>
  </w:style>
  <w:style w:type="paragraph" w:styleId="ListBullet">
    <w:name w:val="List Bullet"/>
    <w:basedOn w:val="Normal"/>
    <w:next w:val="Normal"/>
    <w:autoRedefine/>
    <w:uiPriority w:val="99"/>
    <w:unhideWhenUsed/>
    <w:qFormat/>
    <w:rsid w:val="003F5EA7"/>
    <w:pPr>
      <w:numPr>
        <w:numId w:val="16"/>
      </w:numPr>
      <w:spacing w:after="210" w:line="264" w:lineRule="auto"/>
      <w:contextualSpacing/>
    </w:pPr>
    <w:rPr>
      <w:rFonts w:eastAsia="Times New Roman" w:cs="Arial"/>
      <w:color w:val="000000" w:themeColor="text1"/>
      <w:szCs w:val="20"/>
      <w:lang w:bidi="en-US"/>
    </w:rPr>
  </w:style>
  <w:style w:type="paragraph" w:styleId="ListNumber">
    <w:name w:val="List Number"/>
    <w:basedOn w:val="ListBullet"/>
    <w:next w:val="Normal"/>
    <w:uiPriority w:val="99"/>
    <w:unhideWhenUsed/>
    <w:qFormat/>
    <w:rsid w:val="004774DC"/>
    <w:pPr>
      <w:numPr>
        <w:numId w:val="17"/>
      </w:numPr>
    </w:pPr>
  </w:style>
  <w:style w:type="character" w:customStyle="1" w:styleId="UnresolvedMention1">
    <w:name w:val="Unresolved Mention1"/>
    <w:basedOn w:val="DefaultParagraphFont"/>
    <w:uiPriority w:val="99"/>
    <w:semiHidden/>
    <w:unhideWhenUsed/>
    <w:rsid w:val="004774DC"/>
    <w:rPr>
      <w:color w:val="605E5C"/>
      <w:shd w:val="clear" w:color="auto" w:fill="E1DFDD"/>
    </w:rPr>
  </w:style>
  <w:style w:type="table" w:customStyle="1" w:styleId="GridTable5Dark-Accent11">
    <w:name w:val="Grid Table 5 Dark - Accent 11"/>
    <w:basedOn w:val="TableNormal"/>
    <w:uiPriority w:val="50"/>
    <w:rsid w:val="004774DC"/>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DCD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DCD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DCD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DCDC" w:themeFill="accent1"/>
      </w:tcPr>
    </w:tblStylePr>
    <w:tblStylePr w:type="band1Vert">
      <w:tblPr/>
      <w:tcPr>
        <w:shd w:val="clear" w:color="auto" w:fill="B5F1F1" w:themeFill="accent1" w:themeFillTint="66"/>
      </w:tcPr>
    </w:tblStylePr>
    <w:tblStylePr w:type="band1Horz">
      <w:tblPr/>
      <w:tcPr>
        <w:shd w:val="clear" w:color="auto" w:fill="B5F1F1" w:themeFill="accent1" w:themeFillTint="66"/>
      </w:tcPr>
    </w:tblStylePr>
  </w:style>
  <w:style w:type="paragraph" w:customStyle="1" w:styleId="Header-Classification">
    <w:name w:val="Header - Classification"/>
    <w:basedOn w:val="Header-Copyright"/>
    <w:link w:val="Header-ClassificationChar"/>
    <w:qFormat/>
    <w:rsid w:val="004774DC"/>
    <w:rPr>
      <w:b/>
      <w:bCs/>
      <w:color w:val="46DCDC" w:themeColor="accent1"/>
      <w:sz w:val="16"/>
    </w:rPr>
  </w:style>
  <w:style w:type="character" w:customStyle="1" w:styleId="Header-CopyrightChar">
    <w:name w:val="Header - Copyright Char"/>
    <w:basedOn w:val="DefaultParagraphFont"/>
    <w:link w:val="Header-Copyright"/>
    <w:rsid w:val="004774DC"/>
    <w:rPr>
      <w:rFonts w:ascii="Arial" w:eastAsia="Times New Roman" w:hAnsi="Arial" w:cs="Times New Roman"/>
      <w:color w:val="808080" w:themeColor="background1" w:themeShade="80"/>
      <w:sz w:val="18"/>
      <w:szCs w:val="72"/>
      <w:lang w:bidi="en-US"/>
    </w:rPr>
  </w:style>
  <w:style w:type="character" w:customStyle="1" w:styleId="Header-ClassificationChar">
    <w:name w:val="Header - Classification Char"/>
    <w:basedOn w:val="Header-CopyrightChar"/>
    <w:link w:val="Header-Classification"/>
    <w:rsid w:val="004774DC"/>
    <w:rPr>
      <w:rFonts w:ascii="Arial" w:eastAsia="Times New Roman" w:hAnsi="Arial" w:cs="Times New Roman"/>
      <w:b/>
      <w:bCs/>
      <w:color w:val="46DCDC" w:themeColor="accent1"/>
      <w:sz w:val="16"/>
      <w:szCs w:val="72"/>
      <w:lang w:bidi="en-US"/>
    </w:rPr>
  </w:style>
  <w:style w:type="paragraph" w:customStyle="1" w:styleId="Table-HeaderRow">
    <w:name w:val="Table - Header Row"/>
    <w:basedOn w:val="Normal"/>
    <w:qFormat/>
    <w:rsid w:val="004774DC"/>
    <w:pPr>
      <w:spacing w:after="0" w:line="240" w:lineRule="auto"/>
      <w:contextualSpacing/>
      <w:jc w:val="center"/>
    </w:pPr>
    <w:rPr>
      <w:rFonts w:eastAsia="Times New Roman" w:cs="Times New Roman"/>
      <w:b/>
      <w:caps/>
      <w:color w:val="FFFFFF" w:themeColor="background1"/>
      <w:sz w:val="18"/>
      <w:lang w:bidi="en-US"/>
    </w:rPr>
  </w:style>
  <w:style w:type="paragraph" w:customStyle="1" w:styleId="CoverPage-Details">
    <w:name w:val="Cover Page - Details"/>
    <w:basedOn w:val="NoSpacing"/>
    <w:qFormat/>
    <w:rsid w:val="004774DC"/>
    <w:pPr>
      <w:framePr w:hSpace="187" w:wrap="around" w:vAnchor="page" w:hAnchor="margin" w:xAlign="right" w:y="5654"/>
      <w:ind w:left="-472"/>
    </w:pPr>
    <w:rPr>
      <w:color w:val="767171" w:themeColor="background2" w:themeShade="80"/>
      <w:sz w:val="18"/>
      <w:lang w:val="en-GB" w:bidi="en-US"/>
    </w:rPr>
  </w:style>
  <w:style w:type="character" w:styleId="PlaceholderText">
    <w:name w:val="Placeholder Text"/>
    <w:basedOn w:val="DefaultParagraphFont"/>
    <w:uiPriority w:val="99"/>
    <w:semiHidden/>
    <w:rsid w:val="004774DC"/>
    <w:rPr>
      <w:color w:val="808080"/>
    </w:rPr>
  </w:style>
  <w:style w:type="paragraph" w:customStyle="1" w:styleId="Table-FirstColumn">
    <w:name w:val="Table - First Column"/>
    <w:basedOn w:val="Table-HeaderRow"/>
    <w:qFormat/>
    <w:rsid w:val="004774DC"/>
    <w:pPr>
      <w:jc w:val="left"/>
    </w:pPr>
    <w:rPr>
      <w:caps w:val="0"/>
      <w:color w:val="46DCDC" w:themeColor="accent1"/>
    </w:rPr>
  </w:style>
  <w:style w:type="table" w:customStyle="1" w:styleId="ATEBTable2">
    <w:name w:val="ATEB Table 2"/>
    <w:basedOn w:val="ATEBTable"/>
    <w:uiPriority w:val="99"/>
    <w:rsid w:val="004774DC"/>
    <w:tblPr>
      <w:tblStyleColBandSize w:val="1"/>
    </w:tblPr>
    <w:tblStylePr w:type="firstRow">
      <w:pPr>
        <w:jc w:val="center"/>
      </w:pPr>
      <w:rPr>
        <w:rFonts w:ascii="Arial" w:hAnsi="Arial"/>
        <w:b w:val="0"/>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rFonts w:ascii="Arial" w:hAnsi="Arial"/>
        <w:b w:val="0"/>
        <w:color w:val="FFFFFF" w:themeColor="background1"/>
        <w:sz w:val="20"/>
      </w:rPr>
      <w:tblPr/>
      <w:tcPr>
        <w:shd w:val="clear" w:color="auto" w:fill="46DCDC" w:themeFill="accent1"/>
      </w:tcPr>
    </w:tblStylePr>
    <w:tblStylePr w:type="lastCol">
      <w:rPr>
        <w:b/>
      </w:rPr>
    </w:tblStylePr>
    <w:tblStylePr w:type="band2Vert">
      <w:tblPr/>
      <w:tcPr>
        <w:shd w:val="clear" w:color="auto" w:fill="46DCDC" w:themeFill="accent1"/>
      </w:tc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customStyle="1" w:styleId="Memo-TitleBody">
    <w:name w:val="Memo - Title (Body)"/>
    <w:qFormat/>
    <w:rsid w:val="004774DC"/>
    <w:pPr>
      <w:spacing w:after="0" w:line="240" w:lineRule="auto"/>
      <w:jc w:val="right"/>
    </w:pPr>
    <w:rPr>
      <w:rFonts w:ascii="Arial" w:eastAsia="Times New Roman" w:hAnsi="Arial" w:cs="Times New Roman"/>
      <w:b/>
      <w:bCs/>
      <w:caps/>
      <w:color w:val="000000" w:themeColor="text1"/>
      <w:sz w:val="20"/>
      <w:szCs w:val="20"/>
      <w:lang w:bidi="en-US"/>
    </w:rPr>
  </w:style>
  <w:style w:type="paragraph" w:customStyle="1" w:styleId="Memo-TitleHeader">
    <w:name w:val="Memo - Title (Header)"/>
    <w:basedOn w:val="Header-Copyright"/>
    <w:link w:val="Memo-TitleHeaderChar"/>
    <w:qFormat/>
    <w:rsid w:val="004774DC"/>
    <w:rPr>
      <w:b/>
      <w:caps/>
      <w:color w:val="46DCDC" w:themeColor="accent1"/>
      <w:sz w:val="52"/>
      <w:szCs w:val="52"/>
    </w:rPr>
  </w:style>
  <w:style w:type="character" w:customStyle="1" w:styleId="Memo-TitleHeaderChar">
    <w:name w:val="Memo - Title (Header) Char"/>
    <w:basedOn w:val="Header-CopyrightChar"/>
    <w:link w:val="Memo-TitleHeader"/>
    <w:rsid w:val="004774DC"/>
    <w:rPr>
      <w:rFonts w:ascii="Arial" w:eastAsia="Times New Roman" w:hAnsi="Arial" w:cs="Times New Roman"/>
      <w:b/>
      <w:caps/>
      <w:color w:val="46DCDC" w:themeColor="accent1"/>
      <w:sz w:val="52"/>
      <w:szCs w:val="52"/>
      <w:lang w:bidi="en-US"/>
    </w:rPr>
  </w:style>
  <w:style w:type="table" w:customStyle="1" w:styleId="PlainTable41">
    <w:name w:val="Plain Table 41"/>
    <w:basedOn w:val="TableNormal"/>
    <w:uiPriority w:val="44"/>
    <w:rsid w:val="004774DC"/>
    <w:pPr>
      <w:spacing w:after="0" w:line="240" w:lineRule="auto"/>
    </w:pPr>
    <w:rPr>
      <w:rFonts w:ascii="Calibri" w:eastAsia="Times New Roman" w:hAnsi="Calibri"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2-FirstColumn">
    <w:name w:val="Table 2 - First Column"/>
    <w:basedOn w:val="Table-FirstColumn"/>
    <w:qFormat/>
    <w:rsid w:val="004774DC"/>
    <w:rPr>
      <w:caps/>
      <w:color w:val="FFFFFF" w:themeColor="background1"/>
      <w:lang w:val="en-US"/>
    </w:rPr>
  </w:style>
  <w:style w:type="table" w:customStyle="1" w:styleId="ATEBTableChunky">
    <w:name w:val="ATEB Table (Chunky)"/>
    <w:basedOn w:val="ATEBTable"/>
    <w:uiPriority w:val="99"/>
    <w:rsid w:val="004774DC"/>
    <w:tblPr>
      <w:tblCellMar>
        <w:top w:w="170" w:type="dxa"/>
        <w:left w:w="170" w:type="dxa"/>
        <w:bottom w:w="170" w:type="dxa"/>
        <w:right w:w="170" w:type="dxa"/>
      </w:tblCellMar>
    </w:tbl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table" w:customStyle="1" w:styleId="TableGrid1">
    <w:name w:val="Table Grid1"/>
    <w:basedOn w:val="TableNormal"/>
    <w:next w:val="TableGrid"/>
    <w:uiPriority w:val="59"/>
    <w:rsid w:val="004774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6">
    <w:name w:val="Normal (Web)16"/>
    <w:basedOn w:val="Normal"/>
    <w:rsid w:val="004774DC"/>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TableHeaderRow">
    <w:name w:val="Table Header Row"/>
    <w:basedOn w:val="Normal"/>
    <w:qFormat/>
    <w:rsid w:val="004774DC"/>
    <w:pPr>
      <w:spacing w:after="0" w:line="240" w:lineRule="auto"/>
      <w:contextualSpacing/>
      <w:jc w:val="center"/>
    </w:pPr>
    <w:rPr>
      <w:rFonts w:eastAsia="Times New Roman" w:cs="Times New Roman"/>
      <w:b/>
      <w:color w:val="FFFFFF" w:themeColor="background1"/>
      <w:lang w:bidi="en-US"/>
    </w:rPr>
  </w:style>
  <w:style w:type="paragraph" w:customStyle="1" w:styleId="subpara2">
    <w:name w:val="subpara2"/>
    <w:basedOn w:val="Normal"/>
    <w:rsid w:val="004774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ubpara1">
    <w:name w:val="subpara1"/>
    <w:basedOn w:val="Normal"/>
    <w:rsid w:val="004774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774DC"/>
    <w:pPr>
      <w:spacing w:after="0" w:line="240" w:lineRule="auto"/>
    </w:pPr>
    <w:rPr>
      <w:rFonts w:ascii="Rockwell Light" w:eastAsia="Times New Roman" w:hAnsi="Rockwell Light" w:cs="Times New Roman"/>
      <w:color w:val="000000" w:themeColor="text1"/>
      <w:sz w:val="20"/>
      <w:lang w:bidi="en-US"/>
    </w:rPr>
  </w:style>
  <w:style w:type="paragraph" w:customStyle="1" w:styleId="pf0">
    <w:name w:val="pf0"/>
    <w:basedOn w:val="Normal"/>
    <w:rsid w:val="001078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107805"/>
    <w:rPr>
      <w:rFonts w:ascii="Segoe UI" w:hAnsi="Segoe UI" w:cs="Segoe UI" w:hint="default"/>
      <w:sz w:val="18"/>
      <w:szCs w:val="18"/>
    </w:rPr>
  </w:style>
  <w:style w:type="paragraph" w:customStyle="1" w:styleId="TableParagraph">
    <w:name w:val="Table Paragraph"/>
    <w:basedOn w:val="Normal"/>
    <w:uiPriority w:val="1"/>
    <w:qFormat/>
    <w:rsid w:val="004977E1"/>
    <w:pPr>
      <w:widowControl w:val="0"/>
      <w:autoSpaceDE w:val="0"/>
      <w:autoSpaceDN w:val="0"/>
      <w:spacing w:after="0" w:line="240" w:lineRule="auto"/>
    </w:pPr>
    <w:rPr>
      <w:rFonts w:ascii="Avenir Next" w:eastAsia="Avenir Next" w:hAnsi="Avenir Next" w:cs="Avenir Next"/>
      <w:sz w:val="22"/>
      <w:lang w:val="en-US"/>
    </w:rPr>
  </w:style>
  <w:style w:type="paragraph" w:customStyle="1" w:styleId="TemplateHeaderReplace">
    <w:name w:val="Template Header Replace"/>
    <w:basedOn w:val="Normal"/>
    <w:qFormat/>
    <w:rsid w:val="00073471"/>
    <w:pPr>
      <w:spacing w:after="210" w:line="264" w:lineRule="auto"/>
      <w:ind w:left="-567"/>
      <w:jc w:val="both"/>
    </w:pPr>
    <w:rPr>
      <w:rFonts w:eastAsia="Times New Roman" w:cstheme="minorHAnsi"/>
      <w:b/>
      <w:color w:val="46DCDC" w:themeColor="accent1"/>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366985">
      <w:bodyDiv w:val="1"/>
      <w:marLeft w:val="0"/>
      <w:marRight w:val="0"/>
      <w:marTop w:val="0"/>
      <w:marBottom w:val="0"/>
      <w:divBdr>
        <w:top w:val="none" w:sz="0" w:space="0" w:color="auto"/>
        <w:left w:val="none" w:sz="0" w:space="0" w:color="auto"/>
        <w:bottom w:val="none" w:sz="0" w:space="0" w:color="auto"/>
        <w:right w:val="none" w:sz="0" w:space="0" w:color="auto"/>
      </w:divBdr>
    </w:div>
    <w:div w:id="198496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ysReynolds\OneDrive%20-%20ATEB\Documents\Thistle%20Rebrand\Thistle%20Internal%20Toolkit%20Template.dotx" TargetMode="External"/></Relationships>
</file>

<file path=word/theme/theme1.xml><?xml version="1.0" encoding="utf-8"?>
<a:theme xmlns:a="http://schemas.openxmlformats.org/drawingml/2006/main" name="TI">
  <a:themeElements>
    <a:clrScheme name="TI Colours">
      <a:dk1>
        <a:srgbClr val="000000"/>
      </a:dk1>
      <a:lt1>
        <a:srgbClr val="FFFFFF"/>
      </a:lt1>
      <a:dk2>
        <a:srgbClr val="2E2755"/>
      </a:dk2>
      <a:lt2>
        <a:srgbClr val="E7E6E6"/>
      </a:lt2>
      <a:accent1>
        <a:srgbClr val="46DCDC"/>
      </a:accent1>
      <a:accent2>
        <a:srgbClr val="BBF2F2"/>
      </a:accent2>
      <a:accent3>
        <a:srgbClr val="F596C5"/>
      </a:accent3>
      <a:accent4>
        <a:srgbClr val="CBF2F9"/>
      </a:accent4>
      <a:accent5>
        <a:srgbClr val="F59600"/>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I" id="{80101267-20CE-524B-B065-B7A7855357E6}" vid="{B27ECFF7-BAB6-D844-BD8F-8BA374C07FA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64D0EE9A33841ABAADDDC496255E3" ma:contentTypeVersion="23" ma:contentTypeDescription="Create a new document." ma:contentTypeScope="" ma:versionID="8d4a6095d98acb7048bd2a11d9e58455">
  <xsd:schema xmlns:xsd="http://www.w3.org/2001/XMLSchema" xmlns:xs="http://www.w3.org/2001/XMLSchema" xmlns:p="http://schemas.microsoft.com/office/2006/metadata/properties" xmlns:ns1="http://schemas.microsoft.com/sharepoint/v3" xmlns:ns2="b7a7b0ae-d366-4174-8f86-7e626741fcd7" xmlns:ns3="a1597107-7dfc-4cce-a4d1-d062d8ec457d" targetNamespace="http://schemas.microsoft.com/office/2006/metadata/properties" ma:root="true" ma:fieldsID="7b75be45a57907712cf16f37b61997ba" ns1:_="" ns2:_="" ns3:_="">
    <xsd:import namespace="http://schemas.microsoft.com/sharepoint/v3"/>
    <xsd:import namespace="b7a7b0ae-d366-4174-8f86-7e626741fcd7"/>
    <xsd:import namespace="a1597107-7dfc-4cce-a4d1-d062d8ec4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7b0ae-d366-4174-8f86-7e626741fc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83569e-8348-430f-853d-71034b3732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97107-7dfc-4cce-a4d1-d062d8ec45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9684ab83-0fbd-4c33-9727-ad2c0dd42aa6}" ma:internalName="TaxCatchAll" ma:showField="CatchAllData" ma:web="a1597107-7dfc-4cce-a4d1-d062d8ec4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7a7b0ae-d366-4174-8f86-7e626741fcd7">
      <Terms xmlns="http://schemas.microsoft.com/office/infopath/2007/PartnerControls"/>
    </lcf76f155ced4ddcb4097134ff3c332f>
    <_ip_UnifiedCompliancePolicyProperties xmlns="http://schemas.microsoft.com/sharepoint/v3" xsi:nil="true"/>
    <TaxCatchAll xmlns="a1597107-7dfc-4cce-a4d1-d062d8ec457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3012C-EC25-4043-95C7-26C9FBE63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a7b0ae-d366-4174-8f86-7e626741fcd7"/>
    <ds:schemaRef ds:uri="a1597107-7dfc-4cce-a4d1-d062d8ec4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25F1BB-5BCC-4E3A-A012-A25D7A6007C3}">
  <ds:schemaRefs>
    <ds:schemaRef ds:uri="http://schemas.microsoft.com/office/2006/metadata/properties"/>
    <ds:schemaRef ds:uri="http://schemas.microsoft.com/office/infopath/2007/PartnerControls"/>
    <ds:schemaRef ds:uri="http://schemas.microsoft.com/sharepoint/v3"/>
    <ds:schemaRef ds:uri="b7a7b0ae-d366-4174-8f86-7e626741fcd7"/>
    <ds:schemaRef ds:uri="a1597107-7dfc-4cce-a4d1-d062d8ec457d"/>
  </ds:schemaRefs>
</ds:datastoreItem>
</file>

<file path=customXml/itemProps3.xml><?xml version="1.0" encoding="utf-8"?>
<ds:datastoreItem xmlns:ds="http://schemas.openxmlformats.org/officeDocument/2006/customXml" ds:itemID="{7406DD41-1C68-4560-B37E-E41CABA47B8B}">
  <ds:schemaRefs>
    <ds:schemaRef ds:uri="http://schemas.openxmlformats.org/officeDocument/2006/bibliography"/>
  </ds:schemaRefs>
</ds:datastoreItem>
</file>

<file path=customXml/itemProps4.xml><?xml version="1.0" encoding="utf-8"?>
<ds:datastoreItem xmlns:ds="http://schemas.openxmlformats.org/officeDocument/2006/customXml" ds:itemID="{E54404C8-C421-4C83-8017-966FE4EF8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Thistle Internal Toolkit Template</Template>
  <TotalTime>0</TotalTime>
  <Pages>11</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Consumer Duty</vt:lpstr>
    </vt:vector>
  </TitlesOfParts>
  <Company>Thistle Initiatives Limited</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Duty</dc:title>
  <dc:subject>Fair Value Assessment</dc:subject>
  <dc:creator>Rhys Reynolds</dc:creator>
  <cp:keywords/>
  <dc:description/>
  <cp:lastModifiedBy>Lisa Cross</cp:lastModifiedBy>
  <cp:revision>5</cp:revision>
  <cp:lastPrinted>2025-05-27T15:49:00Z</cp:lastPrinted>
  <dcterms:created xsi:type="dcterms:W3CDTF">2025-07-08T14:19:00Z</dcterms:created>
  <dcterms:modified xsi:type="dcterms:W3CDTF">2026-05-08T12:00:00Z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0x010100F0264D0EE9A33841ABAADDDC496255E3</vt:lpwstr>
  </property>
  <property fmtid="{D5CDD505-2E9C-101B-9397-08002B2CF9AE}" pid="3" name="MediaServiceImageTags">
    <vt:lpwstr/>
  </property>
  <property fmtid="{D5CDD505-2E9C-101B-9397-08002B2CF9AE}" pid="4" name="_AdHocReviewCycleID">
    <vt:i4>-1643600112</vt:i4>
  </property>
  <property fmtid="{D5CDD505-2E9C-101B-9397-08002B2CF9AE}" pid="5" name="_NewReviewCycle">
    <vt:lpwstr/>
  </property>
  <property fmtid="{D5CDD505-2E9C-101B-9397-08002B2CF9AE}" pid="6" name="_EmailSubject">
    <vt:lpwstr>Consumer Duty</vt:lpwstr>
  </property>
  <property fmtid="{D5CDD505-2E9C-101B-9397-08002B2CF9AE}" pid="7" name="_AuthorEmail">
    <vt:lpwstr>rrobson@tbiinvestments.co.uk</vt:lpwstr>
  </property>
  <property fmtid="{D5CDD505-2E9C-101B-9397-08002B2CF9AE}" pid="8" name="_AuthorEmailDisplayName">
    <vt:lpwstr>Richard Robson</vt:lpwstr>
  </property>
  <property fmtid="{D5CDD505-2E9C-101B-9397-08002B2CF9AE}" pid="9" name="_PreviousAdHocReviewCycleID">
    <vt:i4>1291205802</vt:i4>
  </property>
  <property fmtid="{D5CDD505-2E9C-101B-9397-08002B2CF9AE}" pid="10" name="_ReviewingToolsShownOnce">
    <vt:lpwstr/>
  </property>
</Properties>
</file>