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FD58" w14:textId="0516033C" w:rsidR="003B100B" w:rsidRPr="006B3FD0" w:rsidRDefault="003B100B" w:rsidP="008D29BD">
      <w:pPr>
        <w:pStyle w:val="Heading1"/>
        <w:rPr>
          <w:rFonts w:ascii="Arial" w:hAnsi="Arial"/>
        </w:rPr>
      </w:pPr>
    </w:p>
    <w:p w14:paraId="1BEF168F" w14:textId="77777777" w:rsidR="00B62D46" w:rsidRPr="006B3FD0" w:rsidRDefault="00B62D46" w:rsidP="008D29BD">
      <w:pPr>
        <w:pStyle w:val="Heading1"/>
        <w:rPr>
          <w:rFonts w:ascii="Arial" w:hAnsi="Arial"/>
        </w:rPr>
      </w:pPr>
    </w:p>
    <w:p w14:paraId="4694BDB6" w14:textId="77777777" w:rsidR="003B100B" w:rsidRPr="006B3FD0" w:rsidRDefault="003B100B" w:rsidP="008D29BD">
      <w:pPr>
        <w:pStyle w:val="Heading1"/>
        <w:rPr>
          <w:rFonts w:ascii="Arial" w:hAnsi="Arial"/>
        </w:rPr>
      </w:pPr>
    </w:p>
    <w:p w14:paraId="533EC6C8" w14:textId="77777777" w:rsidR="003B100B" w:rsidRPr="006B3FD0" w:rsidRDefault="003B100B" w:rsidP="008D29BD">
      <w:pPr>
        <w:pStyle w:val="Heading1"/>
        <w:rPr>
          <w:rFonts w:ascii="Arial" w:hAnsi="Arial"/>
        </w:rPr>
      </w:pPr>
    </w:p>
    <w:p w14:paraId="2EDF90C5" w14:textId="77777777" w:rsidR="00B62D46" w:rsidRPr="006B3FD0" w:rsidRDefault="00B62D46" w:rsidP="00B62D46">
      <w:pPr>
        <w:jc w:val="center"/>
        <w:rPr>
          <w:rFonts w:cs="Arial"/>
          <w:b/>
          <w:bCs/>
          <w:sz w:val="48"/>
          <w:szCs w:val="48"/>
        </w:rPr>
      </w:pPr>
      <w:r w:rsidRPr="006B3FD0">
        <w:rPr>
          <w:rFonts w:cs="Arial"/>
          <w:b/>
          <w:bCs/>
          <w:sz w:val="48"/>
          <w:szCs w:val="48"/>
        </w:rPr>
        <w:t>Consumer Duty Annual Board Report</w:t>
      </w:r>
    </w:p>
    <w:p w14:paraId="51C1AE6F" w14:textId="283DE9C9" w:rsidR="00B62D46" w:rsidRPr="006B3FD0" w:rsidRDefault="009031F1" w:rsidP="00B62D46">
      <w:pPr>
        <w:jc w:val="center"/>
        <w:rPr>
          <w:rFonts w:cs="Arial"/>
          <w:b/>
          <w:bCs/>
          <w:lang w:bidi="en-US"/>
        </w:rPr>
      </w:pPr>
      <w:r w:rsidRPr="006B3FD0">
        <w:rPr>
          <w:rFonts w:cs="Arial"/>
          <w:b/>
          <w:bCs/>
          <w:lang w:bidi="en-US"/>
        </w:rPr>
        <w:t>July 202</w:t>
      </w:r>
      <w:r w:rsidR="0085731D">
        <w:rPr>
          <w:rFonts w:cs="Arial"/>
          <w:b/>
          <w:bCs/>
          <w:lang w:bidi="en-US"/>
        </w:rPr>
        <w:t>6</w:t>
      </w:r>
    </w:p>
    <w:p w14:paraId="0E4DA7A4" w14:textId="77777777" w:rsidR="00B62D46" w:rsidRPr="006B3FD0" w:rsidRDefault="00B62D46" w:rsidP="00B62D46">
      <w:pPr>
        <w:rPr>
          <w:rFonts w:cs="Arial"/>
          <w:b/>
          <w:bCs/>
          <w:lang w:bidi="en-US"/>
        </w:rPr>
      </w:pPr>
    </w:p>
    <w:p w14:paraId="5424E923" w14:textId="77777777" w:rsidR="00B62D46" w:rsidRPr="006B3FD0" w:rsidRDefault="00B62D46" w:rsidP="00B62D46">
      <w:pPr>
        <w:spacing w:after="0"/>
        <w:jc w:val="center"/>
        <w:rPr>
          <w:rFonts w:cs="Arial"/>
          <w:b/>
          <w:bCs/>
          <w:sz w:val="24"/>
          <w:lang w:bidi="en-US"/>
        </w:rPr>
      </w:pPr>
      <w:r w:rsidRPr="006B3FD0">
        <w:rPr>
          <w:rFonts w:cs="Arial"/>
          <w:b/>
          <w:bCs/>
          <w:sz w:val="24"/>
          <w:lang w:bidi="en-US"/>
        </w:rPr>
        <w:t>Consumer Principle</w:t>
      </w:r>
    </w:p>
    <w:p w14:paraId="2710C426" w14:textId="77777777" w:rsidR="00B62D46" w:rsidRPr="006B3FD0" w:rsidRDefault="00B62D46" w:rsidP="00B62D46">
      <w:pPr>
        <w:spacing w:after="120"/>
        <w:jc w:val="center"/>
        <w:rPr>
          <w:rFonts w:cs="Arial"/>
          <w:sz w:val="20"/>
          <w:szCs w:val="20"/>
          <w:lang w:bidi="en-US"/>
        </w:rPr>
      </w:pPr>
      <w:r w:rsidRPr="006B3FD0">
        <w:rPr>
          <w:rFonts w:cs="Arial"/>
          <w:sz w:val="20"/>
          <w:szCs w:val="20"/>
          <w:lang w:bidi="en-US"/>
        </w:rPr>
        <w:t>A firm must ‘act to deliver good outcomes for retail customers’</w:t>
      </w:r>
    </w:p>
    <w:p w14:paraId="4941B6E0" w14:textId="77777777" w:rsidR="00B62D46" w:rsidRPr="006B3FD0" w:rsidRDefault="00B62D46" w:rsidP="00B62D46">
      <w:pPr>
        <w:spacing w:after="120"/>
        <w:jc w:val="center"/>
        <w:rPr>
          <w:rFonts w:cs="Arial"/>
          <w:sz w:val="20"/>
          <w:szCs w:val="20"/>
          <w:lang w:bidi="en-US"/>
        </w:rPr>
      </w:pPr>
      <w:r w:rsidRPr="006B3FD0">
        <w:rPr>
          <w:rFonts w:cs="Arial"/>
          <w:sz w:val="20"/>
          <w:szCs w:val="20"/>
          <w:lang w:bidi="en-US"/>
        </w:rPr>
        <w:t xml:space="preserve">(Principle 12- Consumer Principle) </w:t>
      </w:r>
    </w:p>
    <w:p w14:paraId="79119DBE" w14:textId="77777777" w:rsidR="00B62D46" w:rsidRPr="006B3FD0" w:rsidRDefault="00B62D46" w:rsidP="00B62D46">
      <w:pPr>
        <w:spacing w:after="120"/>
        <w:jc w:val="center"/>
        <w:rPr>
          <w:rFonts w:cs="Arial"/>
          <w:sz w:val="20"/>
          <w:szCs w:val="20"/>
          <w:lang w:bidi="en-US"/>
        </w:rPr>
      </w:pPr>
    </w:p>
    <w:p w14:paraId="33DD7138" w14:textId="77777777" w:rsidR="00B62D46" w:rsidRPr="006B3FD0" w:rsidRDefault="00B62D46" w:rsidP="00B62D46">
      <w:pPr>
        <w:spacing w:after="0"/>
        <w:jc w:val="center"/>
        <w:rPr>
          <w:rFonts w:cs="Arial"/>
          <w:b/>
          <w:bCs/>
          <w:sz w:val="24"/>
          <w:lang w:bidi="en-US"/>
        </w:rPr>
      </w:pPr>
      <w:r w:rsidRPr="006B3FD0">
        <w:rPr>
          <w:rFonts w:cs="Arial"/>
          <w:b/>
          <w:bCs/>
          <w:sz w:val="24"/>
          <w:lang w:bidi="en-US"/>
        </w:rPr>
        <w:t xml:space="preserve">Cross-cutting rules </w:t>
      </w:r>
    </w:p>
    <w:p w14:paraId="514D3A19" w14:textId="77777777" w:rsidR="00B62D46" w:rsidRPr="006B3FD0" w:rsidRDefault="00B62D46" w:rsidP="00B62D46">
      <w:pPr>
        <w:spacing w:after="120"/>
        <w:jc w:val="center"/>
        <w:rPr>
          <w:rFonts w:cs="Arial"/>
          <w:sz w:val="20"/>
          <w:szCs w:val="20"/>
          <w:lang w:bidi="en-US"/>
        </w:rPr>
      </w:pPr>
      <w:r w:rsidRPr="006B3FD0">
        <w:rPr>
          <w:rFonts w:cs="Arial"/>
          <w:sz w:val="20"/>
          <w:szCs w:val="20"/>
          <w:lang w:bidi="en-US"/>
        </w:rPr>
        <w:t>Firms must:</w:t>
      </w:r>
    </w:p>
    <w:p w14:paraId="1ABAB93C" w14:textId="77777777" w:rsidR="00B62D46" w:rsidRPr="006B3FD0" w:rsidRDefault="00B62D46" w:rsidP="00B62D46">
      <w:pPr>
        <w:spacing w:after="0"/>
        <w:jc w:val="center"/>
        <w:rPr>
          <w:rFonts w:cs="Arial"/>
          <w:sz w:val="20"/>
          <w:szCs w:val="20"/>
          <w:lang w:bidi="en-US"/>
        </w:rPr>
      </w:pPr>
      <w:r w:rsidRPr="006B3FD0">
        <w:rPr>
          <w:rFonts w:cs="Arial"/>
          <w:sz w:val="20"/>
          <w:szCs w:val="20"/>
          <w:lang w:bidi="en-US"/>
        </w:rPr>
        <w:t xml:space="preserve">Act in good faith </w:t>
      </w:r>
    </w:p>
    <w:p w14:paraId="0860F8B5" w14:textId="77777777" w:rsidR="00B62D46" w:rsidRPr="006B3FD0" w:rsidRDefault="00B62D46" w:rsidP="00B62D46">
      <w:pPr>
        <w:spacing w:after="0"/>
        <w:jc w:val="center"/>
        <w:rPr>
          <w:rFonts w:cs="Arial"/>
          <w:sz w:val="20"/>
          <w:szCs w:val="20"/>
          <w:lang w:bidi="en-US"/>
        </w:rPr>
      </w:pPr>
      <w:r w:rsidRPr="006B3FD0">
        <w:rPr>
          <w:rFonts w:cs="Arial"/>
          <w:sz w:val="20"/>
          <w:szCs w:val="20"/>
          <w:lang w:bidi="en-US"/>
        </w:rPr>
        <w:t>Avoid foreseeable harm</w:t>
      </w:r>
    </w:p>
    <w:p w14:paraId="0B31FD4A" w14:textId="77777777" w:rsidR="00B62D46" w:rsidRPr="006B3FD0" w:rsidRDefault="00B62D46" w:rsidP="00B62D46">
      <w:pPr>
        <w:spacing w:after="120"/>
        <w:jc w:val="center"/>
        <w:rPr>
          <w:rFonts w:cs="Arial"/>
          <w:sz w:val="20"/>
          <w:szCs w:val="20"/>
          <w:lang w:bidi="en-US"/>
        </w:rPr>
      </w:pPr>
      <w:r w:rsidRPr="006B3FD0">
        <w:rPr>
          <w:rFonts w:cs="Arial"/>
          <w:sz w:val="20"/>
          <w:szCs w:val="20"/>
          <w:lang w:bidi="en-US"/>
        </w:rPr>
        <w:t>Enable and support retail customers to pursue their financial objectives</w:t>
      </w:r>
    </w:p>
    <w:p w14:paraId="17CEC8F1" w14:textId="77777777" w:rsidR="00B62D46" w:rsidRPr="006B3FD0" w:rsidRDefault="00B62D46" w:rsidP="00B62D46">
      <w:pPr>
        <w:rPr>
          <w:rFonts w:cs="Arial"/>
          <w:b/>
          <w:bCs/>
          <w:lang w:bidi="en-US"/>
        </w:rPr>
      </w:pPr>
    </w:p>
    <w:p w14:paraId="72FF7CD8" w14:textId="77777777" w:rsidR="00B62D46" w:rsidRPr="006B3FD0" w:rsidRDefault="00B62D46" w:rsidP="00B62D46">
      <w:pPr>
        <w:rPr>
          <w:rFonts w:cs="Arial"/>
          <w:b/>
          <w:bCs/>
          <w:lang w:bidi="en-US"/>
        </w:rPr>
      </w:pPr>
    </w:p>
    <w:p w14:paraId="4E656C9E" w14:textId="77777777" w:rsidR="00B62D46" w:rsidRPr="006B3FD0" w:rsidRDefault="00B62D46" w:rsidP="00B62D46">
      <w:pPr>
        <w:rPr>
          <w:rFonts w:cs="Arial"/>
          <w:b/>
          <w:bCs/>
          <w:lang w:bidi="en-US"/>
        </w:rPr>
      </w:pPr>
    </w:p>
    <w:p w14:paraId="2404D6DF" w14:textId="217D59E9" w:rsidR="00B62D46" w:rsidRPr="006B3FD0" w:rsidRDefault="00B62D46" w:rsidP="00B62D46">
      <w:pPr>
        <w:rPr>
          <w:rFonts w:cs="Arial"/>
          <w:b/>
          <w:bCs/>
          <w:lang w:bidi="en-US"/>
        </w:rPr>
      </w:pPr>
      <w:r w:rsidRPr="006B3FD0">
        <w:rPr>
          <w:rFonts w:cs="Arial"/>
          <w:b/>
          <w:bCs/>
          <w:lang w:bidi="en-US"/>
        </w:rPr>
        <w:t xml:space="preserve">Report Prepared By: </w:t>
      </w:r>
      <w:r w:rsidR="0079793E" w:rsidRPr="006B3FD0">
        <w:rPr>
          <w:rFonts w:cs="Arial"/>
          <w:color w:val="FF0000"/>
        </w:rPr>
        <w:t>Name Here</w:t>
      </w:r>
    </w:p>
    <w:p w14:paraId="68B3EAF2" w14:textId="77777777" w:rsidR="00B62D46" w:rsidRPr="006B3FD0" w:rsidRDefault="00B62D46" w:rsidP="00B62D46">
      <w:pPr>
        <w:rPr>
          <w:rFonts w:cs="Arial"/>
        </w:rPr>
      </w:pPr>
    </w:p>
    <w:p w14:paraId="5949401F" w14:textId="77777777" w:rsidR="00B62D46" w:rsidRPr="006B3FD0" w:rsidRDefault="00B62D46" w:rsidP="00B62D46">
      <w:pPr>
        <w:pStyle w:val="TemplateHeader"/>
        <w:tabs>
          <w:tab w:val="left" w:pos="3655"/>
        </w:tabs>
        <w:ind w:left="0" w:right="567"/>
        <w:rPr>
          <w:rFonts w:cs="Arial"/>
        </w:rPr>
      </w:pPr>
      <w:r w:rsidRPr="006B3FD0">
        <w:rPr>
          <w:rFonts w:cs="Arial"/>
        </w:rPr>
        <w:tab/>
      </w:r>
    </w:p>
    <w:p w14:paraId="6A2DC8EA" w14:textId="77777777" w:rsidR="00B62D46" w:rsidRPr="006B3FD0" w:rsidRDefault="00B62D46" w:rsidP="00B62D46">
      <w:pPr>
        <w:pStyle w:val="TemplateHeader"/>
        <w:tabs>
          <w:tab w:val="left" w:pos="3655"/>
        </w:tabs>
        <w:ind w:right="567" w:firstLine="567"/>
        <w:rPr>
          <w:rFonts w:cs="Arial"/>
        </w:rPr>
        <w:sectPr w:rsidR="00B62D46" w:rsidRPr="006B3FD0" w:rsidSect="00B62D46">
          <w:footerReference w:type="default" r:id="rId11"/>
          <w:pgSz w:w="11906" w:h="16838"/>
          <w:pgMar w:top="1440" w:right="1440" w:bottom="1440" w:left="1440" w:header="708" w:footer="708" w:gutter="0"/>
          <w:cols w:space="708"/>
          <w:docGrid w:linePitch="360"/>
        </w:sectPr>
      </w:pPr>
    </w:p>
    <w:p w14:paraId="740A37B9" w14:textId="77777777" w:rsidR="00DB415F" w:rsidRPr="006B3FD0" w:rsidRDefault="00DB415F" w:rsidP="008D29BD">
      <w:pPr>
        <w:pStyle w:val="Heading1"/>
        <w:rPr>
          <w:rFonts w:ascii="Arial" w:hAnsi="Arial"/>
        </w:rPr>
      </w:pPr>
      <w:r w:rsidRPr="006B3FD0">
        <w:rPr>
          <w:rFonts w:ascii="Arial" w:hAnsi="Arial"/>
        </w:rPr>
        <w:lastRenderedPageBreak/>
        <w:t>Summary of changes, guidance, and notable practices</w:t>
      </w:r>
    </w:p>
    <w:p w14:paraId="43DFE9A9" w14:textId="77777777" w:rsidR="00C53657" w:rsidRPr="00C53657" w:rsidRDefault="00C53657" w:rsidP="00C53657">
      <w:pPr>
        <w:rPr>
          <w:rFonts w:cs="Arial"/>
          <w:lang w:val="en-US"/>
        </w:rPr>
      </w:pPr>
      <w:bookmarkStart w:id="0" w:name="_Toc201567574"/>
      <w:r w:rsidRPr="00C53657">
        <w:rPr>
          <w:rFonts w:cs="Arial"/>
          <w:lang w:val="en-US"/>
        </w:rPr>
        <w:t>Over the period July 2025 to July 2026, the FCA’s supervisory focus has shifted firmly from initial implementation of the Consumer Duty to the quality, credibility and impact of firms’ outcome monitoring and Board oversight. The regulator has made clear that Consumer Duty reporting is now expected to evidence not just activity, but demonstrable improvements in customer outcomes, supported by robust management information, clear analysis and effective governance.</w:t>
      </w:r>
    </w:p>
    <w:p w14:paraId="0013DBD4" w14:textId="77777777" w:rsidR="00C53657" w:rsidRPr="00C53657" w:rsidRDefault="00C53657" w:rsidP="00C53657">
      <w:pPr>
        <w:rPr>
          <w:rFonts w:cs="Arial"/>
          <w:lang w:val="en-US"/>
        </w:rPr>
      </w:pPr>
      <w:r w:rsidRPr="00C53657">
        <w:rPr>
          <w:rFonts w:cs="Arial"/>
          <w:lang w:val="en-US"/>
        </w:rPr>
        <w:t>In April 2026, the FCA published its observations following a comparative review of firms’ first and second Consumer Duty board reports. This review confirmed meaningful progress in governance maturity, with stronger Board engagement, clearer accountability for actions, and broader use of quantitative and qualitative data to assess outcomes. Good practice included well</w:t>
      </w:r>
      <w:r w:rsidRPr="00C53657">
        <w:rPr>
          <w:rFonts w:cs="Arial"/>
          <w:lang w:val="en-US"/>
        </w:rPr>
        <w:noBreakHyphen/>
        <w:t>structured reports with a clear outcomes narrative, explicit ownership of remedial actions, and evidence that Boards had challenged data and required changes where outcomes fell short. The FCA also highlighted improving links between Consumer Duty monitoring, complaints root</w:t>
      </w:r>
      <w:r w:rsidRPr="00C53657">
        <w:rPr>
          <w:rFonts w:cs="Arial"/>
          <w:lang w:val="en-US"/>
        </w:rPr>
        <w:noBreakHyphen/>
        <w:t xml:space="preserve">cause analysis and product or service changes. </w:t>
      </w:r>
    </w:p>
    <w:p w14:paraId="14E508EB" w14:textId="77777777" w:rsidR="00C53657" w:rsidRPr="00C53657" w:rsidRDefault="00C53657" w:rsidP="00C53657">
      <w:pPr>
        <w:rPr>
          <w:rFonts w:cs="Arial"/>
          <w:lang w:val="en-US"/>
        </w:rPr>
      </w:pPr>
      <w:r w:rsidRPr="00C53657">
        <w:rPr>
          <w:rFonts w:cs="Arial"/>
          <w:lang w:val="en-US"/>
        </w:rPr>
        <w:t>However, the FCA also identified persistent areas for improvement. These included insufficient explanation of how MI demonstrated good or poor outcomes, over</w:t>
      </w:r>
      <w:r w:rsidRPr="00C53657">
        <w:rPr>
          <w:rFonts w:cs="Arial"/>
          <w:lang w:val="en-US"/>
        </w:rPr>
        <w:noBreakHyphen/>
        <w:t>reliance on averages rather than cohort or customer</w:t>
      </w:r>
      <w:r w:rsidRPr="00C53657">
        <w:rPr>
          <w:rFonts w:cs="Arial"/>
          <w:lang w:val="en-US"/>
        </w:rPr>
        <w:noBreakHyphen/>
        <w:t>type analysis, and weak scrutiny of outcomes delivered through third parties, distribution chains and outsourced providers. The FCA has been clear that future reports should demonstrate clearer lines of accountability, sharper outcome testing, time</w:t>
      </w:r>
      <w:r w:rsidRPr="00C53657">
        <w:rPr>
          <w:rFonts w:cs="Arial"/>
          <w:lang w:val="en-US"/>
        </w:rPr>
        <w:noBreakHyphen/>
        <w:t>bound remediation plans and evidence of effective Board challenge.</w:t>
      </w:r>
    </w:p>
    <w:p w14:paraId="3193DBFE" w14:textId="77777777" w:rsidR="00C53657" w:rsidRPr="00C53657" w:rsidRDefault="00C53657" w:rsidP="00C53657">
      <w:pPr>
        <w:rPr>
          <w:rFonts w:cs="Arial"/>
          <w:lang w:val="en-US"/>
        </w:rPr>
      </w:pPr>
      <w:r w:rsidRPr="00C53657">
        <w:rPr>
          <w:rFonts w:cs="Arial"/>
          <w:lang w:val="en-US"/>
        </w:rPr>
        <w:t xml:space="preserve">Alongside this, the FCA continued its thematic work on specific Consumer Duty outcomes. In March 2026, it published findings on consumer understanding, </w:t>
      </w:r>
      <w:proofErr w:type="spellStart"/>
      <w:r w:rsidRPr="00C53657">
        <w:rPr>
          <w:rFonts w:cs="Arial"/>
          <w:lang w:val="en-US"/>
        </w:rPr>
        <w:t>emphasising</w:t>
      </w:r>
      <w:proofErr w:type="spellEnd"/>
      <w:r w:rsidRPr="00C53657">
        <w:rPr>
          <w:rFonts w:cs="Arial"/>
          <w:lang w:val="en-US"/>
        </w:rPr>
        <w:t xml:space="preserve"> the expectation that firms test, evidence and refine communications based on real customer insight rather than assumptions. Good practice included using data from complaints, call listening, website analytics and customer testing to identify friction points and improve decision</w:t>
      </w:r>
      <w:r w:rsidRPr="00C53657">
        <w:rPr>
          <w:rFonts w:cs="Arial"/>
          <w:lang w:val="en-US"/>
        </w:rPr>
        <w:noBreakHyphen/>
        <w:t xml:space="preserve">making, particularly for customers with characteristics of vulnerability. Firms were cautioned against relying on generic MI that does not demonstrate whether customers genuinely understand products, risks and support options. </w:t>
      </w:r>
    </w:p>
    <w:p w14:paraId="106B5E63" w14:textId="77777777" w:rsidR="00C53657" w:rsidRPr="00C53657" w:rsidRDefault="00C53657" w:rsidP="00C53657">
      <w:pPr>
        <w:rPr>
          <w:rFonts w:cs="Arial"/>
          <w:lang w:val="en-US"/>
        </w:rPr>
      </w:pPr>
      <w:r w:rsidRPr="00C53657">
        <w:rPr>
          <w:rFonts w:cs="Arial"/>
          <w:lang w:val="en-US"/>
        </w:rPr>
        <w:t>The FCA’s ongoing focus on vulnerable customer outcomes remained a central theme through 2025 and 2026. The regulator has reiterated that firms should define what good outcomes look like for vulnerable customers, track these outcomes using sufficiently granular MI, and embed vulnerability considerations into governance, escalation and decision</w:t>
      </w:r>
      <w:r w:rsidRPr="00C53657">
        <w:rPr>
          <w:rFonts w:cs="Arial"/>
          <w:lang w:val="en-US"/>
        </w:rPr>
        <w:noBreakHyphen/>
        <w:t>making frameworks. While some firms demonstrated strong practice through proactive identification and tailored support, the FCA continued to observe under</w:t>
      </w:r>
      <w:r w:rsidRPr="00C53657">
        <w:rPr>
          <w:rFonts w:cs="Arial"/>
          <w:lang w:val="en-US"/>
        </w:rPr>
        <w:noBreakHyphen/>
        <w:t xml:space="preserve">disclosure, inconsistent senior oversight and insufficient evidence that monitoring results were driving meaningful change where poorer outcomes were identified. </w:t>
      </w:r>
    </w:p>
    <w:p w14:paraId="0210A554" w14:textId="77777777" w:rsidR="00C53657" w:rsidRPr="003C62A0" w:rsidRDefault="00C53657" w:rsidP="00C53657">
      <w:pPr>
        <w:rPr>
          <w:rFonts w:cs="Arial"/>
          <w:lang w:val="en-US"/>
        </w:rPr>
      </w:pPr>
      <w:r w:rsidRPr="00C53657">
        <w:rPr>
          <w:rFonts w:cs="Arial"/>
          <w:lang w:val="en-US"/>
        </w:rPr>
        <w:t>During this period, the FCA also reinforced its intention to rely on the Consumer Duty as its primary conduct tool, rather than introducing additional prescriptive rules. Under its 2025–2026 Consumer Duty focus areas, the FCA confirmed that it will continue multi</w:t>
      </w:r>
      <w:r w:rsidRPr="00C53657">
        <w:rPr>
          <w:rFonts w:cs="Arial"/>
          <w:lang w:val="en-US"/>
        </w:rPr>
        <w:noBreakHyphen/>
        <w:t>firm and thematic supervisory work, with priority attention on fair value, consumer support, outcomes monitoring and distribution chain oversight. Firms are expected to demonstrate continuous improvement, proportionate to their size and business model, and to use Board reporting as a key mechanism for identifying emerging risks and driving remedial action.</w:t>
      </w:r>
    </w:p>
    <w:p w14:paraId="7072012E" w14:textId="5103E3AD" w:rsidR="00DB415F" w:rsidRPr="00C771A8" w:rsidRDefault="00DB415F" w:rsidP="008D29BD">
      <w:pPr>
        <w:pStyle w:val="Heading1"/>
        <w:rPr>
          <w:rFonts w:ascii="Arial" w:hAnsi="Arial"/>
        </w:rPr>
      </w:pPr>
      <w:r w:rsidRPr="00C771A8">
        <w:rPr>
          <w:rFonts w:ascii="Arial" w:hAnsi="Arial"/>
        </w:rPr>
        <w:lastRenderedPageBreak/>
        <w:t>Background and purpose</w:t>
      </w:r>
      <w:bookmarkEnd w:id="0"/>
    </w:p>
    <w:p w14:paraId="22A45ED5" w14:textId="77777777" w:rsidR="00C771A8" w:rsidRPr="00C771A8" w:rsidRDefault="00C771A8" w:rsidP="00C771A8">
      <w:pPr>
        <w:rPr>
          <w:rFonts w:cs="Arial"/>
          <w:lang w:val="en-US"/>
        </w:rPr>
      </w:pPr>
      <w:bookmarkStart w:id="1" w:name="_Toc201567577"/>
      <w:r w:rsidRPr="00C771A8">
        <w:rPr>
          <w:rFonts w:cs="Arial"/>
          <w:lang w:val="en-US"/>
        </w:rPr>
        <w:t>The Consumer Duty (“the Duty”), implemented on 31 July 2023, sets a higher standard of conduct for firms operating in the retail market. It requires firms to act in good faith, avoid causing foreseeable harm, and enable and support retail customers to pursue their financial objectives, supported by the delivery of good outcomes across products and services, price and value, consumer understanding and consumer support.</w:t>
      </w:r>
    </w:p>
    <w:p w14:paraId="16D6CB3A" w14:textId="77777777" w:rsidR="00C771A8" w:rsidRPr="00C771A8" w:rsidRDefault="00C771A8" w:rsidP="00C771A8">
      <w:pPr>
        <w:rPr>
          <w:rFonts w:cs="Arial"/>
          <w:lang w:val="en-US"/>
        </w:rPr>
      </w:pPr>
      <w:r w:rsidRPr="00C771A8">
        <w:rPr>
          <w:rFonts w:cs="Arial"/>
          <w:lang w:val="en-US"/>
        </w:rPr>
        <w:t>The firm’s approach to the Duty is focused on the prevention of foreseeable harm and the timely identification, remediation and monitoring of poor customer outcomes where they arise. The Duty is treated as an ongoing framework for governance and decision</w:t>
      </w:r>
      <w:r w:rsidRPr="00C771A8">
        <w:rPr>
          <w:rFonts w:cs="Arial"/>
          <w:lang w:val="en-US"/>
        </w:rPr>
        <w:noBreakHyphen/>
        <w:t>making, rather than a one</w:t>
      </w:r>
      <w:r w:rsidRPr="00C771A8">
        <w:rPr>
          <w:rFonts w:cs="Arial"/>
          <w:lang w:val="en-US"/>
        </w:rPr>
        <w:noBreakHyphen/>
        <w:t>off compliance exercise.</w:t>
      </w:r>
    </w:p>
    <w:p w14:paraId="493F2C3D" w14:textId="77777777" w:rsidR="00C771A8" w:rsidRPr="00C771A8" w:rsidRDefault="00C771A8" w:rsidP="00C771A8">
      <w:pPr>
        <w:rPr>
          <w:rFonts w:cs="Arial"/>
          <w:lang w:val="en-US"/>
        </w:rPr>
      </w:pPr>
      <w:r w:rsidRPr="00C771A8">
        <w:rPr>
          <w:rFonts w:cs="Arial"/>
          <w:lang w:val="en-US"/>
        </w:rPr>
        <w:t>In accordance with PRIN 2A.8.3R of the FCA Handbook, the firm has prepared this annual Consumer Duty Board Report (“the report”), drawing on management information and assessments from relevant areas of the business.</w:t>
      </w:r>
    </w:p>
    <w:p w14:paraId="1790F488" w14:textId="77777777" w:rsidR="00C771A8" w:rsidRPr="00C771A8" w:rsidRDefault="00C771A8" w:rsidP="00C771A8">
      <w:pPr>
        <w:rPr>
          <w:rFonts w:cs="Arial"/>
          <w:lang w:val="en-US"/>
        </w:rPr>
      </w:pPr>
      <w:r w:rsidRPr="00C771A8">
        <w:rPr>
          <w:rFonts w:cs="Arial"/>
          <w:lang w:val="en-US"/>
        </w:rPr>
        <w:t>The purpose of the report is to enable the Board to:</w:t>
      </w:r>
    </w:p>
    <w:p w14:paraId="2F01CD1D" w14:textId="77777777" w:rsidR="00C771A8" w:rsidRPr="00C771A8" w:rsidRDefault="00C771A8" w:rsidP="00C771A8">
      <w:pPr>
        <w:numPr>
          <w:ilvl w:val="0"/>
          <w:numId w:val="44"/>
        </w:numPr>
        <w:rPr>
          <w:rFonts w:cs="Arial"/>
          <w:lang w:val="en-US"/>
        </w:rPr>
      </w:pPr>
      <w:r w:rsidRPr="00C771A8">
        <w:rPr>
          <w:rFonts w:cs="Arial"/>
          <w:lang w:val="en-US"/>
        </w:rPr>
        <w:t>assess whether the firm is delivering good outcomes for retail customers and complying with its obligations under the Duty;</w:t>
      </w:r>
    </w:p>
    <w:p w14:paraId="7326A4DA" w14:textId="77777777" w:rsidR="00C771A8" w:rsidRPr="00C771A8" w:rsidRDefault="00C771A8" w:rsidP="00C771A8">
      <w:pPr>
        <w:numPr>
          <w:ilvl w:val="0"/>
          <w:numId w:val="44"/>
        </w:numPr>
        <w:rPr>
          <w:rFonts w:cs="Arial"/>
          <w:lang w:val="en-US"/>
        </w:rPr>
      </w:pPr>
      <w:r w:rsidRPr="00C771A8">
        <w:rPr>
          <w:rFonts w:cs="Arial"/>
          <w:lang w:val="en-US"/>
        </w:rPr>
        <w:t>consider whether the firm’s controls, data, monitoring arrangements and governance processes remain appropriate and effective;</w:t>
      </w:r>
    </w:p>
    <w:p w14:paraId="2C8F3ECD" w14:textId="77777777" w:rsidR="00C771A8" w:rsidRPr="00C771A8" w:rsidRDefault="00C771A8" w:rsidP="00C771A8">
      <w:pPr>
        <w:numPr>
          <w:ilvl w:val="0"/>
          <w:numId w:val="44"/>
        </w:numPr>
        <w:rPr>
          <w:rFonts w:cs="Arial"/>
          <w:lang w:val="en-US"/>
        </w:rPr>
      </w:pPr>
      <w:r w:rsidRPr="00C771A8">
        <w:rPr>
          <w:rFonts w:cs="Arial"/>
          <w:lang w:val="en-US"/>
        </w:rPr>
        <w:t>identify any areas where remediation, enhancement or further investigation is required; and</w:t>
      </w:r>
    </w:p>
    <w:p w14:paraId="0E68FED7" w14:textId="77777777" w:rsidR="00C771A8" w:rsidRPr="00C771A8" w:rsidRDefault="00C771A8" w:rsidP="00C771A8">
      <w:pPr>
        <w:numPr>
          <w:ilvl w:val="0"/>
          <w:numId w:val="44"/>
        </w:numPr>
        <w:rPr>
          <w:rFonts w:cs="Arial"/>
          <w:lang w:val="en-US"/>
        </w:rPr>
      </w:pPr>
      <w:r w:rsidRPr="00C771A8">
        <w:rPr>
          <w:rFonts w:cs="Arial"/>
          <w:lang w:val="en-US"/>
        </w:rPr>
        <w:t>assess whether the firm’s current and forward</w:t>
      </w:r>
      <w:r w:rsidRPr="00C771A8">
        <w:rPr>
          <w:rFonts w:cs="Arial"/>
          <w:lang w:val="en-US"/>
        </w:rPr>
        <w:noBreakHyphen/>
        <w:t>looking business strategy is consistent with the Duty.</w:t>
      </w:r>
    </w:p>
    <w:p w14:paraId="747F1AF6" w14:textId="77777777" w:rsidR="00C771A8" w:rsidRPr="00C771A8" w:rsidRDefault="00C771A8" w:rsidP="00C771A8">
      <w:pPr>
        <w:pStyle w:val="Heading2"/>
        <w:rPr>
          <w:rFonts w:cs="Arial"/>
          <w:b w:val="0"/>
          <w:bCs w:val="0"/>
          <w:szCs w:val="24"/>
          <w:lang w:val="en-US"/>
        </w:rPr>
      </w:pPr>
      <w:r w:rsidRPr="00C771A8">
        <w:rPr>
          <w:rFonts w:cs="Arial"/>
          <w:b w:val="0"/>
          <w:bCs w:val="0"/>
          <w:szCs w:val="24"/>
          <w:lang w:val="en-US"/>
        </w:rPr>
        <w:t>The report is intended to support informed Board judgement and effective challenge, using both quantitative and qualitative information, and to demonstrate how insight from outcome monitoring is used to drive action and continuous improvement.</w:t>
      </w:r>
    </w:p>
    <w:p w14:paraId="1750A295" w14:textId="03E7F3C2" w:rsidR="00FA35FB" w:rsidRPr="006B3FD0" w:rsidRDefault="00FA35FB" w:rsidP="00C771A8">
      <w:pPr>
        <w:pStyle w:val="Heading2"/>
        <w:rPr>
          <w:rFonts w:cs="Arial"/>
          <w:sz w:val="32"/>
          <w:szCs w:val="32"/>
        </w:rPr>
      </w:pPr>
      <w:r w:rsidRPr="006B3FD0">
        <w:rPr>
          <w:rFonts w:cs="Arial"/>
          <w:sz w:val="32"/>
          <w:szCs w:val="32"/>
        </w:rPr>
        <w:t>Senior manager responsibility</w:t>
      </w:r>
      <w:bookmarkEnd w:id="1"/>
    </w:p>
    <w:p w14:paraId="0B79EB46" w14:textId="77777777" w:rsidR="00FA35FB" w:rsidRPr="006B3FD0" w:rsidRDefault="00FA35FB" w:rsidP="00FA35FB">
      <w:pPr>
        <w:spacing w:line="240" w:lineRule="auto"/>
        <w:rPr>
          <w:rFonts w:cs="Arial"/>
        </w:rPr>
      </w:pPr>
      <w:r w:rsidRPr="006B3FD0">
        <w:rPr>
          <w:rFonts w:cs="Arial"/>
        </w:rPr>
        <w:t>Senior managers within the firm are at the heart of the firm’s strategy to deliver good outcomes to customers. In the interest of transparency, the table below shows the business areas which each FCA approved senior manager is responsible for.</w:t>
      </w:r>
    </w:p>
    <w:tbl>
      <w:tblPr>
        <w:tblStyle w:val="TableGrid"/>
        <w:tblW w:w="9067" w:type="dxa"/>
        <w:tblLook w:val="04A0" w:firstRow="1" w:lastRow="0" w:firstColumn="1" w:lastColumn="0" w:noHBand="0" w:noVBand="1"/>
      </w:tblPr>
      <w:tblGrid>
        <w:gridCol w:w="3114"/>
        <w:gridCol w:w="5953"/>
      </w:tblGrid>
      <w:tr w:rsidR="00FA35FB" w:rsidRPr="006B3FD0" w14:paraId="280525C9" w14:textId="77777777" w:rsidTr="004D54C6">
        <w:trPr>
          <w:trHeight w:val="518"/>
        </w:trPr>
        <w:tc>
          <w:tcPr>
            <w:tcW w:w="3114" w:type="dxa"/>
            <w:shd w:val="clear" w:color="auto" w:fill="B5F1F1" w:themeFill="accent1" w:themeFillTint="66"/>
          </w:tcPr>
          <w:p w14:paraId="5F43984C" w14:textId="77777777" w:rsidR="00FA35FB" w:rsidRPr="006B3FD0" w:rsidRDefault="00FA35FB" w:rsidP="00226203">
            <w:pPr>
              <w:jc w:val="center"/>
              <w:rPr>
                <w:rFonts w:cs="Arial"/>
                <w:b/>
                <w:bCs/>
              </w:rPr>
            </w:pPr>
            <w:r w:rsidRPr="006B3FD0">
              <w:rPr>
                <w:rFonts w:cs="Arial"/>
                <w:b/>
                <w:bCs/>
              </w:rPr>
              <w:t>FCA approved senior manager (individual reference number)</w:t>
            </w:r>
          </w:p>
        </w:tc>
        <w:tc>
          <w:tcPr>
            <w:tcW w:w="5953" w:type="dxa"/>
            <w:shd w:val="clear" w:color="auto" w:fill="B5F1F1" w:themeFill="accent1" w:themeFillTint="66"/>
          </w:tcPr>
          <w:p w14:paraId="3F367A78" w14:textId="77777777" w:rsidR="00FA35FB" w:rsidRPr="006B3FD0" w:rsidRDefault="00FA35FB" w:rsidP="00226203">
            <w:pPr>
              <w:jc w:val="center"/>
              <w:rPr>
                <w:rFonts w:cs="Arial"/>
                <w:b/>
                <w:bCs/>
              </w:rPr>
            </w:pPr>
            <w:r w:rsidRPr="006B3FD0">
              <w:rPr>
                <w:rFonts w:cs="Arial"/>
                <w:b/>
                <w:bCs/>
              </w:rPr>
              <w:t>Responsibility in relation to Consumer Duty</w:t>
            </w:r>
          </w:p>
        </w:tc>
      </w:tr>
      <w:tr w:rsidR="00FA35FB" w:rsidRPr="006B3FD0" w14:paraId="1103D44F" w14:textId="77777777" w:rsidTr="004D54C6">
        <w:trPr>
          <w:trHeight w:val="304"/>
        </w:trPr>
        <w:tc>
          <w:tcPr>
            <w:tcW w:w="3114" w:type="dxa"/>
          </w:tcPr>
          <w:p w14:paraId="688761D7" w14:textId="77777777" w:rsidR="00FA35FB" w:rsidRPr="006B3FD0" w:rsidRDefault="00FA35FB" w:rsidP="00226203">
            <w:pPr>
              <w:rPr>
                <w:rFonts w:cs="Arial"/>
              </w:rPr>
            </w:pPr>
          </w:p>
        </w:tc>
        <w:tc>
          <w:tcPr>
            <w:tcW w:w="5953" w:type="dxa"/>
          </w:tcPr>
          <w:p w14:paraId="2CC15C6F" w14:textId="77777777" w:rsidR="00FA35FB" w:rsidRPr="006B3FD0" w:rsidRDefault="00FA35FB" w:rsidP="00226203">
            <w:pPr>
              <w:rPr>
                <w:rFonts w:cs="Arial"/>
              </w:rPr>
            </w:pPr>
          </w:p>
        </w:tc>
      </w:tr>
      <w:tr w:rsidR="00FA35FB" w:rsidRPr="006B3FD0" w14:paraId="21408EB1" w14:textId="77777777" w:rsidTr="004D54C6">
        <w:trPr>
          <w:trHeight w:val="304"/>
        </w:trPr>
        <w:tc>
          <w:tcPr>
            <w:tcW w:w="3114" w:type="dxa"/>
          </w:tcPr>
          <w:p w14:paraId="5AF4A733" w14:textId="77777777" w:rsidR="00FA35FB" w:rsidRPr="006B3FD0" w:rsidRDefault="00FA35FB" w:rsidP="00226203">
            <w:pPr>
              <w:rPr>
                <w:rFonts w:cs="Arial"/>
              </w:rPr>
            </w:pPr>
          </w:p>
        </w:tc>
        <w:tc>
          <w:tcPr>
            <w:tcW w:w="5953" w:type="dxa"/>
          </w:tcPr>
          <w:p w14:paraId="76BF3AD2" w14:textId="77777777" w:rsidR="00FA35FB" w:rsidRPr="006B3FD0" w:rsidRDefault="00FA35FB" w:rsidP="00226203">
            <w:pPr>
              <w:rPr>
                <w:rFonts w:cs="Arial"/>
              </w:rPr>
            </w:pPr>
          </w:p>
        </w:tc>
      </w:tr>
      <w:tr w:rsidR="00FA35FB" w:rsidRPr="006B3FD0" w14:paraId="1D74554F" w14:textId="77777777" w:rsidTr="004D54C6">
        <w:trPr>
          <w:trHeight w:val="287"/>
        </w:trPr>
        <w:tc>
          <w:tcPr>
            <w:tcW w:w="3114" w:type="dxa"/>
          </w:tcPr>
          <w:p w14:paraId="44AECE47" w14:textId="77777777" w:rsidR="00FA35FB" w:rsidRPr="006B3FD0" w:rsidRDefault="00FA35FB" w:rsidP="00226203">
            <w:pPr>
              <w:rPr>
                <w:rFonts w:cs="Arial"/>
              </w:rPr>
            </w:pPr>
          </w:p>
        </w:tc>
        <w:tc>
          <w:tcPr>
            <w:tcW w:w="5953" w:type="dxa"/>
          </w:tcPr>
          <w:p w14:paraId="012C598E" w14:textId="77777777" w:rsidR="00FA35FB" w:rsidRPr="006B3FD0" w:rsidRDefault="00FA35FB" w:rsidP="00226203">
            <w:pPr>
              <w:rPr>
                <w:rFonts w:cs="Arial"/>
              </w:rPr>
            </w:pPr>
          </w:p>
        </w:tc>
      </w:tr>
      <w:tr w:rsidR="00FA35FB" w:rsidRPr="006B3FD0" w14:paraId="6DC67641" w14:textId="77777777" w:rsidTr="004D54C6">
        <w:trPr>
          <w:trHeight w:val="287"/>
        </w:trPr>
        <w:tc>
          <w:tcPr>
            <w:tcW w:w="3114" w:type="dxa"/>
          </w:tcPr>
          <w:p w14:paraId="12F97E70" w14:textId="77777777" w:rsidR="00FA35FB" w:rsidRPr="006B3FD0" w:rsidRDefault="00FA35FB" w:rsidP="00226203">
            <w:pPr>
              <w:rPr>
                <w:rFonts w:cs="Arial"/>
              </w:rPr>
            </w:pPr>
          </w:p>
        </w:tc>
        <w:tc>
          <w:tcPr>
            <w:tcW w:w="5953" w:type="dxa"/>
          </w:tcPr>
          <w:p w14:paraId="0874394A" w14:textId="77777777" w:rsidR="00FA35FB" w:rsidRPr="006B3FD0" w:rsidRDefault="00FA35FB" w:rsidP="00226203">
            <w:pPr>
              <w:rPr>
                <w:rFonts w:cs="Arial"/>
              </w:rPr>
            </w:pPr>
          </w:p>
        </w:tc>
      </w:tr>
    </w:tbl>
    <w:p w14:paraId="5252D524" w14:textId="1B8A776B" w:rsidR="00B62D46" w:rsidRPr="006B3FD0" w:rsidRDefault="00B62D46" w:rsidP="008D29BD">
      <w:pPr>
        <w:pStyle w:val="Heading1"/>
        <w:rPr>
          <w:rFonts w:ascii="Arial" w:hAnsi="Arial"/>
        </w:rPr>
      </w:pPr>
      <w:r w:rsidRPr="006B3FD0">
        <w:rPr>
          <w:rFonts w:ascii="Arial" w:hAnsi="Arial"/>
        </w:rPr>
        <w:lastRenderedPageBreak/>
        <w:t>The Products and Services outcome</w:t>
      </w:r>
    </w:p>
    <w:p w14:paraId="12A74C88" w14:textId="77777777" w:rsidR="00D11438" w:rsidRPr="00D11438" w:rsidRDefault="00D11438" w:rsidP="00D11438">
      <w:pPr>
        <w:rPr>
          <w:rFonts w:cs="Arial"/>
          <w:color w:val="000000"/>
          <w:szCs w:val="22"/>
          <w:lang w:val="en-US" w:eastAsia="en-GB"/>
        </w:rPr>
      </w:pPr>
      <w:r w:rsidRPr="00D11438">
        <w:rPr>
          <w:rFonts w:cs="Arial"/>
          <w:color w:val="000000"/>
          <w:szCs w:val="22"/>
          <w:lang w:val="en-US" w:eastAsia="en-GB"/>
        </w:rPr>
        <w:t>Under the Consumer Duty, the Board is required to satisfy itself that the firm’s products and services are designed to meet the needs, characteristics and objectives of customers within the identified target market, are distributed appropriately, and continue to deliver good outcomes over time.</w:t>
      </w:r>
    </w:p>
    <w:p w14:paraId="372FB7ED" w14:textId="77777777" w:rsidR="00D11438" w:rsidRPr="00D11438" w:rsidRDefault="00D11438" w:rsidP="00D11438">
      <w:pPr>
        <w:rPr>
          <w:rFonts w:cs="Arial"/>
          <w:color w:val="000000"/>
          <w:szCs w:val="22"/>
          <w:lang w:val="en-US" w:eastAsia="en-GB"/>
        </w:rPr>
      </w:pPr>
      <w:r w:rsidRPr="00D11438">
        <w:rPr>
          <w:rFonts w:cs="Arial"/>
          <w:color w:val="000000"/>
          <w:szCs w:val="22"/>
          <w:lang w:val="en-US" w:eastAsia="en-GB"/>
        </w:rPr>
        <w:t xml:space="preserve">In discharging its oversight responsibilities, the Board has considered whether the firm’s existing </w:t>
      </w:r>
      <w:r w:rsidRPr="002E0A5F">
        <w:rPr>
          <w:rFonts w:cs="Arial"/>
          <w:color w:val="EE0000"/>
          <w:szCs w:val="22"/>
          <w:lang w:val="en-US" w:eastAsia="en-GB"/>
        </w:rPr>
        <w:t xml:space="preserve">product and </w:t>
      </w:r>
      <w:r w:rsidRPr="00D11438">
        <w:rPr>
          <w:rFonts w:cs="Arial"/>
          <w:color w:val="000000"/>
          <w:szCs w:val="22"/>
          <w:lang w:val="en-US" w:eastAsia="en-GB"/>
        </w:rPr>
        <w:t xml:space="preserve">service propositions remain appropriate and continue to operate as intended, taking into account the nature of the firm’s role as a distributor </w:t>
      </w:r>
      <w:r w:rsidRPr="004E092F">
        <w:rPr>
          <w:rFonts w:cs="Arial"/>
          <w:color w:val="EE0000"/>
          <w:szCs w:val="22"/>
          <w:lang w:val="en-US" w:eastAsia="en-GB"/>
        </w:rPr>
        <w:t>and, where relevant, a manufacturer</w:t>
      </w:r>
      <w:r w:rsidRPr="00D11438">
        <w:rPr>
          <w:rFonts w:cs="Arial"/>
          <w:color w:val="000000"/>
          <w:szCs w:val="22"/>
          <w:lang w:val="en-US" w:eastAsia="en-GB"/>
        </w:rPr>
        <w:t xml:space="preserve"> of its ongoing service proposition.</w:t>
      </w:r>
    </w:p>
    <w:p w14:paraId="1BDBF8E6" w14:textId="7181171E" w:rsidR="00D11438" w:rsidRDefault="00D11438" w:rsidP="00D11438">
      <w:pPr>
        <w:rPr>
          <w:rFonts w:cs="Arial"/>
          <w:color w:val="000000"/>
          <w:szCs w:val="22"/>
          <w:lang w:val="en-US" w:eastAsia="en-GB"/>
        </w:rPr>
      </w:pPr>
      <w:r w:rsidRPr="00D11438">
        <w:rPr>
          <w:rFonts w:cs="Arial"/>
          <w:color w:val="000000"/>
          <w:szCs w:val="22"/>
          <w:lang w:val="en-US" w:eastAsia="en-GB"/>
        </w:rPr>
        <w:t xml:space="preserve">The firm maintains a documented Consumer Duty Action Plan, most recently reviewed and approved on </w:t>
      </w:r>
      <w:r w:rsidRPr="00D11438">
        <w:rPr>
          <w:rFonts w:cs="Arial"/>
          <w:color w:val="EE0000"/>
          <w:szCs w:val="22"/>
          <w:lang w:val="en-US" w:eastAsia="en-GB"/>
        </w:rPr>
        <w:t>DD/MM/YYYY</w:t>
      </w:r>
      <w:r w:rsidRPr="00D11438">
        <w:rPr>
          <w:rFonts w:cs="Arial"/>
          <w:color w:val="000000"/>
          <w:szCs w:val="22"/>
          <w:lang w:val="en-US" w:eastAsia="en-GB"/>
        </w:rPr>
        <w:t>. The Board is satisfied that the actions identified within that plan have been embedded into business</w:t>
      </w:r>
      <w:r w:rsidRPr="00D11438">
        <w:rPr>
          <w:rFonts w:cs="Arial"/>
          <w:color w:val="000000"/>
          <w:szCs w:val="22"/>
          <w:lang w:val="en-US" w:eastAsia="en-GB"/>
        </w:rPr>
        <w:noBreakHyphen/>
        <w:t>as</w:t>
      </w:r>
      <w:r w:rsidRPr="00D11438">
        <w:rPr>
          <w:rFonts w:cs="Arial"/>
          <w:color w:val="000000"/>
          <w:szCs w:val="22"/>
          <w:lang w:val="en-US" w:eastAsia="en-GB"/>
        </w:rPr>
        <w:noBreakHyphen/>
        <w:t>usual processes. This section of the report therefore focuses on the monitoring and review activity undertaken since 1 August 202</w:t>
      </w:r>
      <w:r w:rsidR="002B3315">
        <w:rPr>
          <w:rFonts w:cs="Arial"/>
          <w:color w:val="000000"/>
          <w:szCs w:val="22"/>
          <w:lang w:val="en-US" w:eastAsia="en-GB"/>
        </w:rPr>
        <w:t>5</w:t>
      </w:r>
      <w:r w:rsidRPr="00D11438">
        <w:rPr>
          <w:rFonts w:cs="Arial"/>
          <w:color w:val="000000"/>
          <w:szCs w:val="22"/>
          <w:lang w:val="en-US" w:eastAsia="en-GB"/>
        </w:rPr>
        <w:t>, and on whether that activity provides reasonable assurance that customers continue to receive products and services aligned to their needs and objectives.</w:t>
      </w:r>
    </w:p>
    <w:p w14:paraId="4F9212D5" w14:textId="23E824E4" w:rsidR="00B62D46" w:rsidRPr="006B3FD0" w:rsidRDefault="00B62D46" w:rsidP="00D11438">
      <w:pPr>
        <w:rPr>
          <w:rFonts w:cs="Arial"/>
          <w:b/>
          <w:bCs/>
          <w:lang w:val="en-US"/>
        </w:rPr>
      </w:pPr>
      <w:r w:rsidRPr="00D11438">
        <w:rPr>
          <w:rFonts w:cs="Arial"/>
          <w:b/>
          <w:bCs/>
          <w:lang w:val="en-US"/>
        </w:rPr>
        <w:t>Action Taken / Firm Approach</w:t>
      </w:r>
    </w:p>
    <w:p w14:paraId="31E94BD9" w14:textId="77777777" w:rsidR="00B62D46" w:rsidRPr="006B3FD0" w:rsidRDefault="00B62D46" w:rsidP="00B62D46">
      <w:pPr>
        <w:rPr>
          <w:rFonts w:cs="Arial"/>
          <w:b/>
          <w:bCs/>
          <w:lang w:val="en-US"/>
        </w:rPr>
      </w:pPr>
      <w:r w:rsidRPr="006B3FD0">
        <w:rPr>
          <w:rFonts w:cs="Arial"/>
          <w:b/>
          <w:bCs/>
          <w:lang w:val="en-US"/>
        </w:rPr>
        <w:t>Comments</w:t>
      </w:r>
    </w:p>
    <w:p w14:paraId="774F61EC" w14:textId="44C335CA" w:rsidR="004871DC" w:rsidRPr="006B3FD0" w:rsidRDefault="00F00B5C" w:rsidP="004871DC">
      <w:pPr>
        <w:rPr>
          <w:rFonts w:cs="Arial"/>
          <w:bCs/>
          <w:u w:val="single"/>
        </w:rPr>
      </w:pPr>
      <w:r w:rsidRPr="006B3FD0">
        <w:rPr>
          <w:rFonts w:cs="Arial"/>
          <w:bCs/>
          <w:u w:val="single"/>
        </w:rPr>
        <w:t>Ongoing</w:t>
      </w:r>
      <w:r w:rsidR="0033267F" w:rsidRPr="006B3FD0">
        <w:rPr>
          <w:rFonts w:cs="Arial"/>
          <w:bCs/>
          <w:u w:val="single"/>
        </w:rPr>
        <w:t xml:space="preserve"> Service</w:t>
      </w:r>
      <w:r w:rsidR="004871DC" w:rsidRPr="006B3FD0">
        <w:rPr>
          <w:rFonts w:cs="Arial"/>
          <w:bCs/>
          <w:u w:val="single"/>
        </w:rPr>
        <w:t xml:space="preserve"> </w:t>
      </w:r>
      <w:r w:rsidR="0033267F" w:rsidRPr="006B3FD0">
        <w:rPr>
          <w:rFonts w:cs="Arial"/>
          <w:bCs/>
          <w:u w:val="single"/>
        </w:rPr>
        <w:t>P</w:t>
      </w:r>
      <w:r w:rsidR="004871DC" w:rsidRPr="006B3FD0">
        <w:rPr>
          <w:rFonts w:cs="Arial"/>
          <w:bCs/>
          <w:u w:val="single"/>
        </w:rPr>
        <w:t>roposition</w:t>
      </w:r>
    </w:p>
    <w:p w14:paraId="3B6CA1FB" w14:textId="4176C3AA" w:rsidR="004871DC" w:rsidRPr="006B3FD0" w:rsidRDefault="00B910D5" w:rsidP="004871DC">
      <w:pPr>
        <w:rPr>
          <w:rFonts w:cs="Arial"/>
          <w:bCs/>
          <w:color w:val="000000" w:themeColor="text1"/>
        </w:rPr>
      </w:pPr>
      <w:r w:rsidRPr="006B3FD0">
        <w:rPr>
          <w:rFonts w:cs="Arial"/>
          <w:bCs/>
          <w:color w:val="000000" w:themeColor="text1"/>
        </w:rPr>
        <w:t>Within the last 12 months, th</w:t>
      </w:r>
      <w:r w:rsidR="00325E1C" w:rsidRPr="006B3FD0">
        <w:rPr>
          <w:rFonts w:cs="Arial"/>
          <w:bCs/>
          <w:color w:val="000000" w:themeColor="text1"/>
        </w:rPr>
        <w:t>e</w:t>
      </w:r>
      <w:r w:rsidR="004871DC" w:rsidRPr="006B3FD0">
        <w:rPr>
          <w:rFonts w:cs="Arial"/>
          <w:bCs/>
          <w:color w:val="000000" w:themeColor="text1"/>
        </w:rPr>
        <w:t xml:space="preserve"> firm has </w:t>
      </w:r>
      <w:r w:rsidR="00325E1C" w:rsidRPr="006B3FD0">
        <w:rPr>
          <w:rFonts w:cs="Arial"/>
          <w:bCs/>
          <w:color w:val="000000" w:themeColor="text1"/>
        </w:rPr>
        <w:t xml:space="preserve">further focused on </w:t>
      </w:r>
      <w:r w:rsidR="004871DC" w:rsidRPr="006B3FD0">
        <w:rPr>
          <w:rFonts w:cs="Arial"/>
          <w:bCs/>
          <w:color w:val="000000" w:themeColor="text1"/>
        </w:rPr>
        <w:t>review</w:t>
      </w:r>
      <w:r w:rsidR="00325E1C" w:rsidRPr="006B3FD0">
        <w:rPr>
          <w:rFonts w:cs="Arial"/>
          <w:bCs/>
          <w:color w:val="000000" w:themeColor="text1"/>
        </w:rPr>
        <w:t>ing</w:t>
      </w:r>
      <w:r w:rsidR="000C1E85" w:rsidRPr="006B3FD0">
        <w:rPr>
          <w:rFonts w:cs="Arial"/>
          <w:bCs/>
          <w:color w:val="000000" w:themeColor="text1"/>
        </w:rPr>
        <w:t>,</w:t>
      </w:r>
      <w:r w:rsidR="004871DC" w:rsidRPr="006B3FD0">
        <w:rPr>
          <w:rFonts w:cs="Arial"/>
          <w:bCs/>
          <w:color w:val="000000" w:themeColor="text1"/>
        </w:rPr>
        <w:t xml:space="preserve"> and</w:t>
      </w:r>
      <w:r w:rsidR="00325E1C" w:rsidRPr="006B3FD0">
        <w:rPr>
          <w:rFonts w:cs="Arial"/>
          <w:bCs/>
          <w:color w:val="000000" w:themeColor="text1"/>
        </w:rPr>
        <w:t xml:space="preserve"> where </w:t>
      </w:r>
      <w:r w:rsidR="000C1E85" w:rsidRPr="006B3FD0">
        <w:rPr>
          <w:rFonts w:cs="Arial"/>
          <w:bCs/>
          <w:color w:val="000000" w:themeColor="text1"/>
        </w:rPr>
        <w:t>needed, amending</w:t>
      </w:r>
      <w:r w:rsidR="004871DC" w:rsidRPr="006B3FD0">
        <w:rPr>
          <w:rFonts w:cs="Arial"/>
          <w:bCs/>
          <w:color w:val="000000" w:themeColor="text1"/>
        </w:rPr>
        <w:t xml:space="preserve"> </w:t>
      </w:r>
      <w:r w:rsidR="000C1E85" w:rsidRPr="006B3FD0">
        <w:rPr>
          <w:rFonts w:cs="Arial"/>
          <w:bCs/>
          <w:color w:val="000000" w:themeColor="text1"/>
        </w:rPr>
        <w:t>our</w:t>
      </w:r>
      <w:r w:rsidR="004871DC" w:rsidRPr="006B3FD0">
        <w:rPr>
          <w:rFonts w:cs="Arial"/>
          <w:bCs/>
          <w:color w:val="000000" w:themeColor="text1"/>
        </w:rPr>
        <w:t xml:space="preserve"> service propositions to establish:</w:t>
      </w:r>
    </w:p>
    <w:p w14:paraId="518EEEC7" w14:textId="6ADCD278" w:rsidR="004871DC" w:rsidRPr="00136683" w:rsidRDefault="004871DC" w:rsidP="00FE6DAB">
      <w:pPr>
        <w:pStyle w:val="ListBullet"/>
        <w:numPr>
          <w:ilvl w:val="0"/>
          <w:numId w:val="34"/>
        </w:numPr>
        <w:ind w:left="426"/>
        <w:rPr>
          <w:color w:val="000000" w:themeColor="text1"/>
        </w:rPr>
      </w:pPr>
      <w:r w:rsidRPr="00136683">
        <w:rPr>
          <w:color w:val="000000" w:themeColor="text1"/>
        </w:rPr>
        <w:t xml:space="preserve">the level of service attached to each </w:t>
      </w:r>
      <w:r w:rsidR="00266AAB" w:rsidRPr="00136683">
        <w:rPr>
          <w:color w:val="000000" w:themeColor="text1"/>
        </w:rPr>
        <w:t xml:space="preserve">specific proposition </w:t>
      </w:r>
      <w:r w:rsidR="00266AAB" w:rsidRPr="00136683">
        <w:rPr>
          <w:color w:val="EE0000"/>
        </w:rPr>
        <w:t>(</w:t>
      </w:r>
      <w:r w:rsidR="00153468" w:rsidRPr="00136683">
        <w:rPr>
          <w:color w:val="EE0000"/>
        </w:rPr>
        <w:t>E.g. Gold, Silver, Bronze</w:t>
      </w:r>
      <w:r w:rsidR="000C1E85" w:rsidRPr="00136683">
        <w:rPr>
          <w:color w:val="EE0000"/>
        </w:rPr>
        <w:t>)</w:t>
      </w:r>
    </w:p>
    <w:p w14:paraId="736B24E7" w14:textId="1B69358A" w:rsidR="004871DC" w:rsidRPr="00136683" w:rsidRDefault="004871DC" w:rsidP="00FE6DAB">
      <w:pPr>
        <w:pStyle w:val="ListBullet"/>
        <w:numPr>
          <w:ilvl w:val="0"/>
          <w:numId w:val="34"/>
        </w:numPr>
        <w:ind w:left="426"/>
        <w:rPr>
          <w:color w:val="000000" w:themeColor="text1"/>
        </w:rPr>
      </w:pPr>
      <w:r w:rsidRPr="00136683">
        <w:rPr>
          <w:color w:val="000000" w:themeColor="text1"/>
        </w:rPr>
        <w:t xml:space="preserve">the </w:t>
      </w:r>
      <w:r w:rsidR="000C1E85" w:rsidRPr="00136683">
        <w:rPr>
          <w:color w:val="000000" w:themeColor="text1"/>
        </w:rPr>
        <w:t>Target Market that would apply to each level of service offered by the fir</w:t>
      </w:r>
      <w:r w:rsidR="0020157C" w:rsidRPr="00136683">
        <w:rPr>
          <w:color w:val="000000" w:themeColor="text1"/>
        </w:rPr>
        <w:t>m.</w:t>
      </w:r>
      <w:r w:rsidRPr="00136683">
        <w:rPr>
          <w:color w:val="000000" w:themeColor="text1"/>
        </w:rPr>
        <w:t xml:space="preserve"> </w:t>
      </w:r>
      <w:r w:rsidR="0020157C" w:rsidRPr="00136683">
        <w:rPr>
          <w:color w:val="000000" w:themeColor="text1"/>
        </w:rPr>
        <w:t>This included:</w:t>
      </w:r>
    </w:p>
    <w:p w14:paraId="70739F3C" w14:textId="77777777" w:rsidR="004871DC" w:rsidRPr="00136683" w:rsidRDefault="004871DC" w:rsidP="00FE6DAB">
      <w:pPr>
        <w:pStyle w:val="ListBullet"/>
        <w:numPr>
          <w:ilvl w:val="1"/>
          <w:numId w:val="34"/>
        </w:numPr>
        <w:ind w:left="851"/>
        <w:rPr>
          <w:color w:val="EE0000"/>
        </w:rPr>
      </w:pPr>
      <w:r w:rsidRPr="00136683">
        <w:rPr>
          <w:color w:val="EE0000"/>
        </w:rPr>
        <w:t>complexity of advice needs</w:t>
      </w:r>
    </w:p>
    <w:p w14:paraId="1EB0C19A" w14:textId="77777777" w:rsidR="004871DC" w:rsidRPr="00136683" w:rsidRDefault="004871DC" w:rsidP="00FE6DAB">
      <w:pPr>
        <w:pStyle w:val="ListBullet"/>
        <w:numPr>
          <w:ilvl w:val="1"/>
          <w:numId w:val="34"/>
        </w:numPr>
        <w:ind w:left="851"/>
        <w:rPr>
          <w:color w:val="EE0000"/>
        </w:rPr>
      </w:pPr>
      <w:r w:rsidRPr="00136683">
        <w:rPr>
          <w:color w:val="EE0000"/>
        </w:rPr>
        <w:t>number of products with the firm</w:t>
      </w:r>
    </w:p>
    <w:p w14:paraId="7DFFEDB5" w14:textId="77777777" w:rsidR="004871DC" w:rsidRPr="00136683" w:rsidRDefault="004871DC" w:rsidP="00FE6DAB">
      <w:pPr>
        <w:pStyle w:val="ListBullet"/>
        <w:numPr>
          <w:ilvl w:val="1"/>
          <w:numId w:val="34"/>
        </w:numPr>
        <w:ind w:left="851"/>
        <w:rPr>
          <w:color w:val="EE0000"/>
        </w:rPr>
      </w:pPr>
      <w:r w:rsidRPr="00136683">
        <w:rPr>
          <w:color w:val="EE0000"/>
        </w:rPr>
        <w:t>minimum and maximum ongoing service fee, paid annually</w:t>
      </w:r>
    </w:p>
    <w:p w14:paraId="5E4F44DE" w14:textId="00272DD1" w:rsidR="004871DC" w:rsidRPr="00136683" w:rsidRDefault="004871DC" w:rsidP="00FE6DAB">
      <w:pPr>
        <w:pStyle w:val="ListBullet"/>
        <w:numPr>
          <w:ilvl w:val="1"/>
          <w:numId w:val="34"/>
        </w:numPr>
        <w:ind w:left="851"/>
        <w:rPr>
          <w:color w:val="EE0000"/>
        </w:rPr>
      </w:pPr>
      <w:r w:rsidRPr="00136683">
        <w:rPr>
          <w:color w:val="EE0000"/>
        </w:rPr>
        <w:t xml:space="preserve">client preferences </w:t>
      </w:r>
      <w:r w:rsidR="008E4480" w:rsidRPr="00136683">
        <w:rPr>
          <w:color w:val="EE0000"/>
        </w:rPr>
        <w:t>(e.g. whether they preferred a specific type of service)</w:t>
      </w:r>
    </w:p>
    <w:p w14:paraId="58519F88" w14:textId="2DFEDC26" w:rsidR="00551BA5" w:rsidRPr="006B3FD0" w:rsidRDefault="004871DC" w:rsidP="004871DC">
      <w:pPr>
        <w:rPr>
          <w:rFonts w:cs="Arial"/>
          <w:bCs/>
          <w:color w:val="000000" w:themeColor="text1"/>
        </w:rPr>
      </w:pPr>
      <w:r w:rsidRPr="006B3FD0">
        <w:rPr>
          <w:rFonts w:cs="Arial"/>
          <w:bCs/>
          <w:color w:val="000000" w:themeColor="text1"/>
        </w:rPr>
        <w:t xml:space="preserve">This has led to positive client outcomes as we </w:t>
      </w:r>
      <w:r w:rsidR="00E33222" w:rsidRPr="006B3FD0">
        <w:rPr>
          <w:rFonts w:cs="Arial"/>
          <w:bCs/>
          <w:color w:val="000000" w:themeColor="text1"/>
        </w:rPr>
        <w:t>confirm</w:t>
      </w:r>
      <w:r w:rsidRPr="006B3FD0">
        <w:rPr>
          <w:rFonts w:cs="Arial"/>
          <w:bCs/>
          <w:color w:val="000000" w:themeColor="text1"/>
        </w:rPr>
        <w:t xml:space="preserve"> to each client the level of service they are </w:t>
      </w:r>
      <w:r w:rsidR="00E33222" w:rsidRPr="006B3FD0">
        <w:rPr>
          <w:rFonts w:cs="Arial"/>
          <w:bCs/>
          <w:color w:val="000000" w:themeColor="text1"/>
        </w:rPr>
        <w:t>agreeing to</w:t>
      </w:r>
      <w:r w:rsidR="00C27C9B" w:rsidRPr="006B3FD0">
        <w:rPr>
          <w:rFonts w:cs="Arial"/>
          <w:bCs/>
          <w:color w:val="000000" w:themeColor="text1"/>
        </w:rPr>
        <w:t xml:space="preserve"> during the onboarding process. The service </w:t>
      </w:r>
      <w:r w:rsidR="00DA6C22" w:rsidRPr="006B3FD0">
        <w:rPr>
          <w:rFonts w:cs="Arial"/>
          <w:bCs/>
          <w:color w:val="000000" w:themeColor="text1"/>
        </w:rPr>
        <w:t xml:space="preserve">that </w:t>
      </w:r>
      <w:r w:rsidR="00C27C9B" w:rsidRPr="006B3FD0">
        <w:rPr>
          <w:rFonts w:cs="Arial"/>
          <w:bCs/>
          <w:color w:val="000000" w:themeColor="text1"/>
        </w:rPr>
        <w:t>clients receive is</w:t>
      </w:r>
      <w:r w:rsidR="00DA6C22" w:rsidRPr="006B3FD0">
        <w:rPr>
          <w:rFonts w:cs="Arial"/>
          <w:bCs/>
          <w:color w:val="000000" w:themeColor="text1"/>
        </w:rPr>
        <w:t xml:space="preserve"> then</w:t>
      </w:r>
      <w:r w:rsidR="00C27C9B" w:rsidRPr="006B3FD0">
        <w:rPr>
          <w:rFonts w:cs="Arial"/>
          <w:bCs/>
          <w:color w:val="000000" w:themeColor="text1"/>
        </w:rPr>
        <w:t xml:space="preserve"> re-visited when they are contacted for their annual review service</w:t>
      </w:r>
      <w:r w:rsidR="00551BA5" w:rsidRPr="006B3FD0">
        <w:rPr>
          <w:rFonts w:cs="Arial"/>
          <w:bCs/>
          <w:color w:val="000000" w:themeColor="text1"/>
        </w:rPr>
        <w:t>)</w:t>
      </w:r>
      <w:r w:rsidRPr="006B3FD0">
        <w:rPr>
          <w:rFonts w:cs="Arial"/>
          <w:bCs/>
          <w:color w:val="000000" w:themeColor="text1"/>
        </w:rPr>
        <w:t xml:space="preserve">. </w:t>
      </w:r>
    </w:p>
    <w:p w14:paraId="1813D434" w14:textId="77777777" w:rsidR="00585F79" w:rsidRPr="00EC41AA" w:rsidRDefault="004871DC" w:rsidP="00585F79">
      <w:pPr>
        <w:rPr>
          <w:rFonts w:cs="Arial"/>
          <w:bCs/>
          <w:color w:val="000000" w:themeColor="text1"/>
          <w:lang w:val="en-US"/>
        </w:rPr>
      </w:pPr>
      <w:r w:rsidRPr="006B3FD0">
        <w:rPr>
          <w:rFonts w:cs="Arial"/>
          <w:bCs/>
          <w:color w:val="000000" w:themeColor="text1"/>
        </w:rPr>
        <w:t xml:space="preserve">At the same time, the firm </w:t>
      </w:r>
      <w:r w:rsidR="00551BA5" w:rsidRPr="006B3FD0">
        <w:rPr>
          <w:rFonts w:cs="Arial"/>
          <w:bCs/>
          <w:color w:val="000000" w:themeColor="text1"/>
        </w:rPr>
        <w:t>wants to remove any friction</w:t>
      </w:r>
      <w:r w:rsidRPr="006B3FD0">
        <w:rPr>
          <w:rFonts w:cs="Arial"/>
          <w:bCs/>
          <w:color w:val="000000" w:themeColor="text1"/>
        </w:rPr>
        <w:t xml:space="preserve"> </w:t>
      </w:r>
      <w:r w:rsidR="002033AE" w:rsidRPr="006B3FD0">
        <w:rPr>
          <w:rFonts w:cs="Arial"/>
          <w:bCs/>
          <w:color w:val="000000" w:themeColor="text1"/>
        </w:rPr>
        <w:t xml:space="preserve">with the uptake and amending of specific service propositions </w:t>
      </w:r>
      <w:r w:rsidRPr="006B3FD0">
        <w:rPr>
          <w:rFonts w:cs="Arial"/>
          <w:bCs/>
          <w:color w:val="000000" w:themeColor="text1"/>
        </w:rPr>
        <w:t xml:space="preserve">to ensure clients are comfortable with the chosen proposition to enable them to pursue their needs. If a client decides that they require a lighter touch service or a more hands on approach, they can </w:t>
      </w:r>
      <w:r w:rsidR="00973B88" w:rsidRPr="006B3FD0">
        <w:rPr>
          <w:rFonts w:cs="Arial"/>
          <w:bCs/>
          <w:color w:val="000000" w:themeColor="text1"/>
        </w:rPr>
        <w:t>move between</w:t>
      </w:r>
      <w:r w:rsidRPr="006B3FD0">
        <w:rPr>
          <w:rFonts w:cs="Arial"/>
          <w:bCs/>
          <w:color w:val="000000" w:themeColor="text1"/>
        </w:rPr>
        <w:t xml:space="preserve"> propositions as need be and this will always be confirmed in writing before proceeding with the change.</w:t>
      </w:r>
      <w:r w:rsidR="002033AE" w:rsidRPr="006B3FD0">
        <w:rPr>
          <w:rFonts w:cs="Arial"/>
          <w:bCs/>
          <w:color w:val="000000" w:themeColor="text1"/>
        </w:rPr>
        <w:t xml:space="preserve"> </w:t>
      </w:r>
      <w:r w:rsidR="00585F79" w:rsidRPr="00585F79">
        <w:rPr>
          <w:rFonts w:cs="Arial"/>
          <w:bCs/>
          <w:color w:val="000000" w:themeColor="text1"/>
        </w:rPr>
        <w:t>T</w:t>
      </w:r>
      <w:r w:rsidR="00585F79" w:rsidRPr="00585F79">
        <w:rPr>
          <w:rFonts w:cs="Arial"/>
          <w:bCs/>
          <w:color w:val="000000" w:themeColor="text1"/>
          <w:lang w:val="en-US"/>
        </w:rPr>
        <w:t>he Board has considered whether minimum fees attached to each proposition could act as a barrier to access. It remains satisfied that these minimums are proportionate to the level of service provided, clearly disclosed, and do not result in foreseeable harm, particularly given clients’ ability to move between propositions as their needs change.</w:t>
      </w:r>
    </w:p>
    <w:p w14:paraId="2211EC44" w14:textId="4BC08F1B" w:rsidR="004871DC" w:rsidRPr="00585F79" w:rsidRDefault="004871DC" w:rsidP="004871DC">
      <w:pPr>
        <w:rPr>
          <w:rFonts w:cs="Arial"/>
          <w:bCs/>
          <w:color w:val="000000" w:themeColor="text1"/>
          <w:lang w:val="en-US"/>
        </w:rPr>
      </w:pPr>
    </w:p>
    <w:p w14:paraId="57EE7FDD" w14:textId="4AE56201" w:rsidR="00C83A2A" w:rsidRPr="006B3FD0" w:rsidRDefault="004871DC" w:rsidP="004871DC">
      <w:pPr>
        <w:rPr>
          <w:rFonts w:cs="Arial"/>
          <w:bCs/>
          <w:color w:val="000000" w:themeColor="text1"/>
        </w:rPr>
      </w:pPr>
      <w:r w:rsidRPr="006B3FD0">
        <w:rPr>
          <w:rFonts w:cs="Arial"/>
          <w:bCs/>
          <w:color w:val="000000" w:themeColor="text1"/>
        </w:rPr>
        <w:lastRenderedPageBreak/>
        <w:t xml:space="preserve">To complete this project, the firm reviewed all clients paying an ongoing advice fee, resulting in </w:t>
      </w:r>
      <w:r w:rsidRPr="00FE6DAB">
        <w:rPr>
          <w:rFonts w:cs="Arial"/>
          <w:bCs/>
          <w:color w:val="EE0000"/>
        </w:rPr>
        <w:t>X</w:t>
      </w:r>
      <w:r w:rsidRPr="006B3FD0">
        <w:rPr>
          <w:rFonts w:cs="Arial"/>
          <w:bCs/>
          <w:color w:val="000000" w:themeColor="text1"/>
        </w:rPr>
        <w:t xml:space="preserve"> clients in total. It was deemed that </w:t>
      </w:r>
      <w:r w:rsidRPr="00FE6DAB">
        <w:rPr>
          <w:rFonts w:cs="Arial"/>
          <w:bCs/>
          <w:color w:val="EE0000"/>
        </w:rPr>
        <w:t xml:space="preserve">X </w:t>
      </w:r>
      <w:r w:rsidRPr="006B3FD0">
        <w:rPr>
          <w:rFonts w:cs="Arial"/>
          <w:bCs/>
          <w:color w:val="000000" w:themeColor="text1"/>
        </w:rPr>
        <w:t>clients as already being in the most aligned proposition when compared to their stated needs and objectives.</w:t>
      </w:r>
    </w:p>
    <w:p w14:paraId="691A6468" w14:textId="77777777" w:rsidR="004871DC" w:rsidRPr="006B3FD0" w:rsidRDefault="004871DC" w:rsidP="004871DC">
      <w:pPr>
        <w:rPr>
          <w:rFonts w:cs="Arial"/>
          <w:bCs/>
          <w:color w:val="000000" w:themeColor="text1"/>
        </w:rPr>
      </w:pPr>
      <w:r w:rsidRPr="006B3FD0">
        <w:rPr>
          <w:rFonts w:cs="Arial"/>
          <w:bCs/>
          <w:color w:val="000000" w:themeColor="text1"/>
        </w:rPr>
        <w:t>Our propositions can therefore be split into the following:</w:t>
      </w:r>
    </w:p>
    <w:tbl>
      <w:tblPr>
        <w:tblStyle w:val="TableGrid"/>
        <w:tblW w:w="0" w:type="auto"/>
        <w:tblLook w:val="04A0" w:firstRow="1" w:lastRow="0" w:firstColumn="1" w:lastColumn="0" w:noHBand="0" w:noVBand="1"/>
      </w:tblPr>
      <w:tblGrid>
        <w:gridCol w:w="3005"/>
        <w:gridCol w:w="3005"/>
        <w:gridCol w:w="3006"/>
      </w:tblGrid>
      <w:tr w:rsidR="0089751D" w:rsidRPr="006B3FD0" w14:paraId="53FD2D1E" w14:textId="77777777" w:rsidTr="00C165F0">
        <w:tc>
          <w:tcPr>
            <w:tcW w:w="3005" w:type="dxa"/>
          </w:tcPr>
          <w:p w14:paraId="4F1FD9C0" w14:textId="1C9A382B" w:rsidR="003D5D40" w:rsidRPr="006B3FD0" w:rsidRDefault="003D5D40" w:rsidP="00C165F0">
            <w:pPr>
              <w:rPr>
                <w:rFonts w:cs="Arial"/>
                <w:b/>
                <w:color w:val="000000" w:themeColor="text1"/>
              </w:rPr>
            </w:pPr>
            <w:r w:rsidRPr="006B3FD0">
              <w:rPr>
                <w:rFonts w:cs="Arial"/>
                <w:b/>
                <w:color w:val="000000" w:themeColor="text1"/>
              </w:rPr>
              <w:t>Service</w:t>
            </w:r>
          </w:p>
        </w:tc>
        <w:tc>
          <w:tcPr>
            <w:tcW w:w="3005" w:type="dxa"/>
          </w:tcPr>
          <w:p w14:paraId="13F18CCB" w14:textId="7261170E" w:rsidR="003D5D40" w:rsidRPr="006B3FD0" w:rsidRDefault="003D5D40" w:rsidP="00C165F0">
            <w:pPr>
              <w:rPr>
                <w:rFonts w:cs="Arial"/>
                <w:b/>
                <w:color w:val="000000" w:themeColor="text1"/>
              </w:rPr>
            </w:pPr>
            <w:r w:rsidRPr="006B3FD0">
              <w:rPr>
                <w:rFonts w:cs="Arial"/>
                <w:b/>
                <w:color w:val="000000" w:themeColor="text1"/>
              </w:rPr>
              <w:t xml:space="preserve">Cost </w:t>
            </w:r>
          </w:p>
        </w:tc>
        <w:tc>
          <w:tcPr>
            <w:tcW w:w="3006" w:type="dxa"/>
          </w:tcPr>
          <w:p w14:paraId="34B30CC2" w14:textId="4917E522" w:rsidR="003D5D40" w:rsidRPr="006B3FD0" w:rsidRDefault="003D5D40" w:rsidP="00C165F0">
            <w:pPr>
              <w:rPr>
                <w:rFonts w:cs="Arial"/>
                <w:b/>
                <w:color w:val="000000" w:themeColor="text1"/>
              </w:rPr>
            </w:pPr>
            <w:r w:rsidRPr="006B3FD0">
              <w:rPr>
                <w:rFonts w:cs="Arial"/>
                <w:b/>
                <w:color w:val="000000" w:themeColor="text1"/>
              </w:rPr>
              <w:t>Number of clients</w:t>
            </w:r>
          </w:p>
        </w:tc>
      </w:tr>
      <w:tr w:rsidR="0089751D" w:rsidRPr="006B3FD0" w14:paraId="55695B96" w14:textId="77777777" w:rsidTr="00C165F0">
        <w:tc>
          <w:tcPr>
            <w:tcW w:w="3005" w:type="dxa"/>
          </w:tcPr>
          <w:p w14:paraId="348AC5CB" w14:textId="101E3014" w:rsidR="004871DC" w:rsidRPr="00136683" w:rsidRDefault="00100177" w:rsidP="00C165F0">
            <w:pPr>
              <w:rPr>
                <w:rFonts w:cs="Arial"/>
                <w:bCs/>
                <w:color w:val="EE0000"/>
              </w:rPr>
            </w:pPr>
            <w:r w:rsidRPr="00136683">
              <w:rPr>
                <w:rFonts w:cs="Arial"/>
                <w:bCs/>
                <w:color w:val="EE0000"/>
              </w:rPr>
              <w:t>E.g. Bronze</w:t>
            </w:r>
          </w:p>
        </w:tc>
        <w:tc>
          <w:tcPr>
            <w:tcW w:w="3005" w:type="dxa"/>
          </w:tcPr>
          <w:p w14:paraId="4AD2D8AF" w14:textId="59C75FEB" w:rsidR="004871DC" w:rsidRPr="00136683" w:rsidRDefault="003D5D40" w:rsidP="00C165F0">
            <w:pPr>
              <w:rPr>
                <w:rFonts w:cs="Arial"/>
                <w:bCs/>
                <w:color w:val="EE0000"/>
              </w:rPr>
            </w:pPr>
            <w:r w:rsidRPr="00136683">
              <w:rPr>
                <w:rFonts w:cs="Arial"/>
                <w:bCs/>
                <w:color w:val="EE0000"/>
              </w:rPr>
              <w:t xml:space="preserve">% pa, minimum </w:t>
            </w:r>
            <w:r w:rsidR="0033267F" w:rsidRPr="00136683">
              <w:rPr>
                <w:rFonts w:cs="Arial"/>
                <w:bCs/>
                <w:color w:val="EE0000"/>
              </w:rPr>
              <w:t>£fee required</w:t>
            </w:r>
          </w:p>
        </w:tc>
        <w:tc>
          <w:tcPr>
            <w:tcW w:w="3006" w:type="dxa"/>
          </w:tcPr>
          <w:p w14:paraId="15CF868C" w14:textId="67EBF253" w:rsidR="004871DC" w:rsidRPr="00136683" w:rsidRDefault="0033267F" w:rsidP="00C165F0">
            <w:pPr>
              <w:rPr>
                <w:rFonts w:cs="Arial"/>
                <w:bCs/>
                <w:color w:val="EE0000"/>
              </w:rPr>
            </w:pPr>
            <w:r w:rsidRPr="00136683">
              <w:rPr>
                <w:rFonts w:cs="Arial"/>
                <w:bCs/>
                <w:color w:val="EE0000"/>
              </w:rPr>
              <w:t>N</w:t>
            </w:r>
            <w:r w:rsidR="004871DC" w:rsidRPr="00136683">
              <w:rPr>
                <w:rFonts w:cs="Arial"/>
                <w:bCs/>
                <w:color w:val="EE0000"/>
              </w:rPr>
              <w:t>umber of clients in this cohort</w:t>
            </w:r>
          </w:p>
        </w:tc>
      </w:tr>
      <w:tr w:rsidR="0089751D" w:rsidRPr="006B3FD0" w14:paraId="42F6E15E" w14:textId="77777777" w:rsidTr="00C165F0">
        <w:tc>
          <w:tcPr>
            <w:tcW w:w="3005" w:type="dxa"/>
          </w:tcPr>
          <w:p w14:paraId="45EB6235" w14:textId="7B32DC99" w:rsidR="004871DC" w:rsidRPr="00136683" w:rsidRDefault="00100177" w:rsidP="00C165F0">
            <w:pPr>
              <w:rPr>
                <w:rFonts w:cs="Arial"/>
                <w:bCs/>
                <w:color w:val="EE0000"/>
              </w:rPr>
            </w:pPr>
            <w:r w:rsidRPr="00136683">
              <w:rPr>
                <w:rFonts w:cs="Arial"/>
                <w:bCs/>
                <w:color w:val="EE0000"/>
              </w:rPr>
              <w:t>E.g. Silver</w:t>
            </w:r>
          </w:p>
        </w:tc>
        <w:tc>
          <w:tcPr>
            <w:tcW w:w="3005" w:type="dxa"/>
          </w:tcPr>
          <w:p w14:paraId="7223677D" w14:textId="3094EC92" w:rsidR="004871DC" w:rsidRPr="00136683" w:rsidRDefault="0033267F" w:rsidP="00C165F0">
            <w:pPr>
              <w:rPr>
                <w:rFonts w:cs="Arial"/>
                <w:bCs/>
                <w:color w:val="EE0000"/>
              </w:rPr>
            </w:pPr>
            <w:r w:rsidRPr="00136683">
              <w:rPr>
                <w:rFonts w:cs="Arial"/>
                <w:bCs/>
                <w:color w:val="EE0000"/>
              </w:rPr>
              <w:t>% pa, minimum £fee required</w:t>
            </w:r>
          </w:p>
        </w:tc>
        <w:tc>
          <w:tcPr>
            <w:tcW w:w="3006" w:type="dxa"/>
          </w:tcPr>
          <w:p w14:paraId="53461740" w14:textId="0F39E562" w:rsidR="004871DC" w:rsidRPr="00136683" w:rsidRDefault="0033267F" w:rsidP="00C165F0">
            <w:pPr>
              <w:rPr>
                <w:rFonts w:cs="Arial"/>
                <w:bCs/>
                <w:color w:val="EE0000"/>
              </w:rPr>
            </w:pPr>
            <w:r w:rsidRPr="00136683">
              <w:rPr>
                <w:rFonts w:cs="Arial"/>
                <w:bCs/>
                <w:color w:val="EE0000"/>
              </w:rPr>
              <w:t>N</w:t>
            </w:r>
            <w:r w:rsidR="004871DC" w:rsidRPr="00136683">
              <w:rPr>
                <w:rFonts w:cs="Arial"/>
                <w:bCs/>
                <w:color w:val="EE0000"/>
              </w:rPr>
              <w:t>umber of clients in this cohort</w:t>
            </w:r>
          </w:p>
        </w:tc>
      </w:tr>
      <w:tr w:rsidR="0089751D" w:rsidRPr="006B3FD0" w14:paraId="28BD1B46" w14:textId="77777777" w:rsidTr="00C165F0">
        <w:tc>
          <w:tcPr>
            <w:tcW w:w="3005" w:type="dxa"/>
          </w:tcPr>
          <w:p w14:paraId="1430BB4D" w14:textId="51DBED0A" w:rsidR="004871DC" w:rsidRPr="00136683" w:rsidRDefault="00100177" w:rsidP="00C165F0">
            <w:pPr>
              <w:rPr>
                <w:rFonts w:cs="Arial"/>
                <w:bCs/>
                <w:color w:val="EE0000"/>
              </w:rPr>
            </w:pPr>
            <w:r w:rsidRPr="00136683">
              <w:rPr>
                <w:rFonts w:cs="Arial"/>
                <w:bCs/>
                <w:color w:val="EE0000"/>
              </w:rPr>
              <w:t>E.g. Gold</w:t>
            </w:r>
            <w:r w:rsidR="003D5D40" w:rsidRPr="00136683">
              <w:rPr>
                <w:rFonts w:cs="Arial"/>
                <w:bCs/>
                <w:color w:val="EE0000"/>
              </w:rPr>
              <w:t xml:space="preserve"> </w:t>
            </w:r>
          </w:p>
        </w:tc>
        <w:tc>
          <w:tcPr>
            <w:tcW w:w="3005" w:type="dxa"/>
          </w:tcPr>
          <w:p w14:paraId="2C8E3EE2" w14:textId="5C446F9C" w:rsidR="004871DC" w:rsidRPr="00136683" w:rsidRDefault="0033267F" w:rsidP="00C165F0">
            <w:pPr>
              <w:rPr>
                <w:rFonts w:cs="Arial"/>
                <w:bCs/>
                <w:color w:val="EE0000"/>
              </w:rPr>
            </w:pPr>
            <w:r w:rsidRPr="00136683">
              <w:rPr>
                <w:rFonts w:cs="Arial"/>
                <w:bCs/>
                <w:color w:val="EE0000"/>
              </w:rPr>
              <w:t>% pa, minimum £fee required</w:t>
            </w:r>
          </w:p>
        </w:tc>
        <w:tc>
          <w:tcPr>
            <w:tcW w:w="3006" w:type="dxa"/>
          </w:tcPr>
          <w:p w14:paraId="680F29A2" w14:textId="14CCD753" w:rsidR="004871DC" w:rsidRPr="00136683" w:rsidRDefault="0033267F" w:rsidP="00C165F0">
            <w:pPr>
              <w:rPr>
                <w:rFonts w:cs="Arial"/>
                <w:bCs/>
                <w:color w:val="EE0000"/>
              </w:rPr>
            </w:pPr>
            <w:r w:rsidRPr="00136683">
              <w:rPr>
                <w:rFonts w:cs="Arial"/>
                <w:bCs/>
                <w:color w:val="EE0000"/>
              </w:rPr>
              <w:t>N</w:t>
            </w:r>
            <w:r w:rsidR="004871DC" w:rsidRPr="00136683">
              <w:rPr>
                <w:rFonts w:cs="Arial"/>
                <w:bCs/>
                <w:color w:val="EE0000"/>
              </w:rPr>
              <w:t>umber of clients in this cohort</w:t>
            </w:r>
          </w:p>
        </w:tc>
      </w:tr>
    </w:tbl>
    <w:p w14:paraId="79CC03B9" w14:textId="77777777" w:rsidR="004871DC" w:rsidRPr="006B3FD0" w:rsidRDefault="004871DC" w:rsidP="004871DC">
      <w:pPr>
        <w:rPr>
          <w:rFonts w:cs="Arial"/>
          <w:color w:val="000000" w:themeColor="text1"/>
        </w:rPr>
      </w:pPr>
    </w:p>
    <w:p w14:paraId="4CF9706F" w14:textId="77777777" w:rsidR="0033267F" w:rsidRPr="006B3FD0" w:rsidRDefault="004871DC" w:rsidP="004871DC">
      <w:pPr>
        <w:rPr>
          <w:rFonts w:cs="Arial"/>
          <w:color w:val="000000" w:themeColor="text1"/>
        </w:rPr>
      </w:pPr>
      <w:r w:rsidRPr="006B3FD0">
        <w:rPr>
          <w:rFonts w:cs="Arial"/>
          <w:color w:val="000000" w:themeColor="text1"/>
        </w:rPr>
        <w:t xml:space="preserve">We also have </w:t>
      </w:r>
      <w:r w:rsidRPr="00136683">
        <w:rPr>
          <w:rFonts w:cs="Arial"/>
          <w:color w:val="EE0000"/>
        </w:rPr>
        <w:t>X</w:t>
      </w:r>
      <w:r w:rsidRPr="006B3FD0">
        <w:rPr>
          <w:rFonts w:cs="Arial"/>
          <w:color w:val="000000" w:themeColor="text1"/>
        </w:rPr>
        <w:t xml:space="preserve"> number of transactional clients where an ongoing service is not required for various reasons. </w:t>
      </w:r>
    </w:p>
    <w:p w14:paraId="1527E4D1" w14:textId="5FDEEDDA" w:rsidR="004871DC" w:rsidRPr="006B3FD0" w:rsidRDefault="004871DC" w:rsidP="004871DC">
      <w:pPr>
        <w:rPr>
          <w:rFonts w:cs="Arial"/>
          <w:bCs/>
          <w:color w:val="000000" w:themeColor="text1"/>
        </w:rPr>
      </w:pPr>
      <w:r w:rsidRPr="006B3FD0">
        <w:rPr>
          <w:rFonts w:cs="Arial"/>
          <w:bCs/>
          <w:color w:val="000000" w:themeColor="text1"/>
        </w:rPr>
        <w:t xml:space="preserve">The client’s current proposition categorisation is integrated within the firm’s back-office system </w:t>
      </w:r>
      <w:r w:rsidR="001B6DDA" w:rsidRPr="006B3FD0">
        <w:rPr>
          <w:rFonts w:cs="Arial"/>
          <w:bCs/>
          <w:color w:val="000000" w:themeColor="text1"/>
        </w:rPr>
        <w:t xml:space="preserve">entry, </w:t>
      </w:r>
      <w:r w:rsidRPr="006B3FD0">
        <w:rPr>
          <w:rFonts w:cs="Arial"/>
          <w:bCs/>
          <w:color w:val="000000" w:themeColor="text1"/>
        </w:rPr>
        <w:t>so this is visible at a glance to all staff. This means that staff will know how frequently a client is seen throughout the year and ensure that the agreed level of service is being delivered accordingly.</w:t>
      </w:r>
    </w:p>
    <w:p w14:paraId="31AFE14C" w14:textId="77777777" w:rsidR="004871DC" w:rsidRPr="006B3FD0" w:rsidRDefault="004871DC" w:rsidP="004871DC">
      <w:pPr>
        <w:rPr>
          <w:rFonts w:cs="Arial"/>
          <w:bCs/>
          <w:color w:val="000000" w:themeColor="text1"/>
          <w:u w:val="single"/>
        </w:rPr>
      </w:pPr>
      <w:r w:rsidRPr="006B3FD0">
        <w:rPr>
          <w:rFonts w:cs="Arial"/>
          <w:bCs/>
          <w:color w:val="000000" w:themeColor="text1"/>
          <w:u w:val="single"/>
        </w:rPr>
        <w:t>Annual Review Service Delivery</w:t>
      </w:r>
    </w:p>
    <w:p w14:paraId="4362F7AD" w14:textId="77777777" w:rsidR="004871DC" w:rsidRPr="006B3FD0" w:rsidRDefault="004871DC" w:rsidP="004871DC">
      <w:pPr>
        <w:jc w:val="both"/>
        <w:rPr>
          <w:rFonts w:cs="Arial"/>
          <w:bCs/>
          <w:color w:val="000000" w:themeColor="text1"/>
        </w:rPr>
      </w:pPr>
      <w:r w:rsidRPr="006B3FD0">
        <w:rPr>
          <w:rFonts w:cs="Arial"/>
          <w:bCs/>
          <w:color w:val="000000" w:themeColor="text1"/>
        </w:rPr>
        <w:t xml:space="preserve">Delivering an outstanding client service is at the heart of the firm’s culture.  The firm strives to achieve client service excellence, which has been compounded by the implementation of the Consumer Duty. </w:t>
      </w:r>
    </w:p>
    <w:p w14:paraId="331DE41E" w14:textId="41DD15EF" w:rsidR="009D695C" w:rsidRPr="006B3FD0" w:rsidRDefault="004871DC" w:rsidP="009D695C">
      <w:pPr>
        <w:jc w:val="both"/>
        <w:rPr>
          <w:rFonts w:cs="Arial"/>
          <w:bCs/>
          <w:color w:val="000000" w:themeColor="text1"/>
        </w:rPr>
      </w:pPr>
      <w:r w:rsidRPr="006B3FD0">
        <w:rPr>
          <w:rFonts w:cs="Arial"/>
          <w:bCs/>
          <w:color w:val="000000" w:themeColor="text1"/>
        </w:rPr>
        <w:t xml:space="preserve">To ensure good outcomes are being delivered for clients, we have robust systems in place to evidence ongoing </w:t>
      </w:r>
      <w:r w:rsidR="00E43FE6">
        <w:rPr>
          <w:rFonts w:cs="Arial"/>
          <w:bCs/>
          <w:color w:val="000000" w:themeColor="text1"/>
        </w:rPr>
        <w:t>service</w:t>
      </w:r>
      <w:r w:rsidR="00DA36A5" w:rsidRPr="006B3FD0">
        <w:rPr>
          <w:rFonts w:cs="Arial"/>
          <w:bCs/>
          <w:color w:val="000000" w:themeColor="text1"/>
        </w:rPr>
        <w:t xml:space="preserve"> that were benchmarked against The FCA’s Ongoing Servicing Review findings from February 2025.</w:t>
      </w:r>
      <w:r w:rsidRPr="006B3FD0">
        <w:rPr>
          <w:rFonts w:cs="Arial"/>
          <w:bCs/>
          <w:color w:val="000000" w:themeColor="text1"/>
        </w:rPr>
        <w:t xml:space="preserve"> </w:t>
      </w:r>
    </w:p>
    <w:p w14:paraId="77984A1D" w14:textId="056E3D45" w:rsidR="009D695C" w:rsidRPr="00136683" w:rsidRDefault="009D695C" w:rsidP="009D695C">
      <w:pPr>
        <w:rPr>
          <w:rFonts w:cs="Arial"/>
          <w:bCs/>
          <w:color w:val="000000" w:themeColor="text1"/>
        </w:rPr>
      </w:pPr>
      <w:r w:rsidRPr="00136683">
        <w:rPr>
          <w:rFonts w:cs="Arial"/>
          <w:bCs/>
          <w:color w:val="000000" w:themeColor="text1"/>
        </w:rPr>
        <w:t>Between 1</w:t>
      </w:r>
      <w:r w:rsidRPr="00136683">
        <w:rPr>
          <w:rFonts w:cs="Arial"/>
          <w:bCs/>
          <w:color w:val="000000" w:themeColor="text1"/>
          <w:vertAlign w:val="superscript"/>
        </w:rPr>
        <w:t>st</w:t>
      </w:r>
      <w:r w:rsidRPr="00136683">
        <w:rPr>
          <w:rFonts w:cs="Arial"/>
          <w:bCs/>
          <w:color w:val="000000" w:themeColor="text1"/>
        </w:rPr>
        <w:t xml:space="preserve"> August 202</w:t>
      </w:r>
      <w:r w:rsidR="00522A24" w:rsidRPr="00136683">
        <w:rPr>
          <w:rFonts w:cs="Arial"/>
          <w:bCs/>
          <w:color w:val="000000" w:themeColor="text1"/>
        </w:rPr>
        <w:t>5</w:t>
      </w:r>
      <w:r w:rsidRPr="00136683">
        <w:rPr>
          <w:rFonts w:cs="Arial"/>
          <w:bCs/>
          <w:color w:val="000000" w:themeColor="text1"/>
        </w:rPr>
        <w:t xml:space="preserve"> to 1</w:t>
      </w:r>
      <w:r w:rsidRPr="00136683">
        <w:rPr>
          <w:rFonts w:cs="Arial"/>
          <w:bCs/>
          <w:color w:val="000000" w:themeColor="text1"/>
          <w:vertAlign w:val="superscript"/>
        </w:rPr>
        <w:t>st</w:t>
      </w:r>
      <w:r w:rsidRPr="00136683">
        <w:rPr>
          <w:rFonts w:cs="Arial"/>
          <w:bCs/>
          <w:color w:val="000000" w:themeColor="text1"/>
        </w:rPr>
        <w:t xml:space="preserve"> July 202</w:t>
      </w:r>
      <w:r w:rsidR="00522A24" w:rsidRPr="00136683">
        <w:rPr>
          <w:rFonts w:cs="Arial"/>
          <w:bCs/>
          <w:color w:val="000000" w:themeColor="text1"/>
        </w:rPr>
        <w:t>6</w:t>
      </w:r>
      <w:r w:rsidRPr="00136683">
        <w:rPr>
          <w:rFonts w:cs="Arial"/>
          <w:bCs/>
          <w:color w:val="000000" w:themeColor="text1"/>
        </w:rPr>
        <w:t>:</w:t>
      </w:r>
    </w:p>
    <w:tbl>
      <w:tblPr>
        <w:tblStyle w:val="TableGrid"/>
        <w:tblW w:w="0" w:type="auto"/>
        <w:tblLook w:val="04A0" w:firstRow="1" w:lastRow="0" w:firstColumn="1" w:lastColumn="0" w:noHBand="0" w:noVBand="1"/>
      </w:tblPr>
      <w:tblGrid>
        <w:gridCol w:w="2968"/>
        <w:gridCol w:w="3090"/>
        <w:gridCol w:w="2958"/>
      </w:tblGrid>
      <w:tr w:rsidR="0089751D" w:rsidRPr="006B3FD0" w14:paraId="36C4766D" w14:textId="77777777" w:rsidTr="00C165F0">
        <w:tc>
          <w:tcPr>
            <w:tcW w:w="4570" w:type="dxa"/>
          </w:tcPr>
          <w:p w14:paraId="28603BF0" w14:textId="77777777" w:rsidR="009D695C" w:rsidRPr="00136683" w:rsidRDefault="009D695C" w:rsidP="00C165F0">
            <w:pPr>
              <w:rPr>
                <w:rFonts w:cs="Arial"/>
                <w:b/>
                <w:bCs/>
                <w:color w:val="000000" w:themeColor="text1"/>
                <w:sz w:val="22"/>
                <w:szCs w:val="22"/>
              </w:rPr>
            </w:pPr>
            <w:r w:rsidRPr="00136683">
              <w:rPr>
                <w:rFonts w:cs="Arial"/>
                <w:b/>
                <w:bCs/>
                <w:color w:val="000000" w:themeColor="text1"/>
                <w:sz w:val="22"/>
                <w:szCs w:val="22"/>
              </w:rPr>
              <w:t>Number of reviews due</w:t>
            </w:r>
          </w:p>
        </w:tc>
        <w:tc>
          <w:tcPr>
            <w:tcW w:w="4570" w:type="dxa"/>
          </w:tcPr>
          <w:p w14:paraId="0EE83457" w14:textId="77777777" w:rsidR="009D695C" w:rsidRPr="00136683" w:rsidRDefault="009D695C" w:rsidP="00C165F0">
            <w:pPr>
              <w:rPr>
                <w:rFonts w:cs="Arial"/>
                <w:b/>
                <w:bCs/>
                <w:color w:val="000000" w:themeColor="text1"/>
                <w:sz w:val="22"/>
                <w:szCs w:val="22"/>
              </w:rPr>
            </w:pPr>
            <w:r w:rsidRPr="00136683">
              <w:rPr>
                <w:rFonts w:cs="Arial"/>
                <w:b/>
                <w:bCs/>
                <w:color w:val="000000" w:themeColor="text1"/>
                <w:sz w:val="22"/>
                <w:szCs w:val="22"/>
              </w:rPr>
              <w:t>Number of reviews completed</w:t>
            </w:r>
          </w:p>
        </w:tc>
        <w:tc>
          <w:tcPr>
            <w:tcW w:w="4571" w:type="dxa"/>
          </w:tcPr>
          <w:p w14:paraId="7D2CB263" w14:textId="77777777" w:rsidR="009D695C" w:rsidRPr="00136683" w:rsidRDefault="009D695C" w:rsidP="00C165F0">
            <w:pPr>
              <w:rPr>
                <w:rFonts w:cs="Arial"/>
                <w:b/>
                <w:bCs/>
                <w:color w:val="000000" w:themeColor="text1"/>
                <w:sz w:val="22"/>
                <w:szCs w:val="22"/>
              </w:rPr>
            </w:pPr>
            <w:r w:rsidRPr="00136683">
              <w:rPr>
                <w:rFonts w:cs="Arial"/>
                <w:b/>
                <w:bCs/>
                <w:color w:val="000000" w:themeColor="text1"/>
                <w:sz w:val="22"/>
                <w:szCs w:val="22"/>
              </w:rPr>
              <w:t>% of reviews not carried out</w:t>
            </w:r>
          </w:p>
        </w:tc>
      </w:tr>
      <w:tr w:rsidR="0089751D" w:rsidRPr="006B3FD0" w14:paraId="2ED1310A" w14:textId="77777777" w:rsidTr="00C165F0">
        <w:tc>
          <w:tcPr>
            <w:tcW w:w="4570" w:type="dxa"/>
          </w:tcPr>
          <w:p w14:paraId="2A00142F" w14:textId="77777777" w:rsidR="009D695C" w:rsidRPr="00136683" w:rsidRDefault="009D695C" w:rsidP="00C165F0">
            <w:pPr>
              <w:rPr>
                <w:rFonts w:cs="Arial"/>
                <w:color w:val="EE0000"/>
                <w:sz w:val="22"/>
                <w:szCs w:val="22"/>
              </w:rPr>
            </w:pPr>
            <w:r w:rsidRPr="00136683">
              <w:rPr>
                <w:rFonts w:cs="Arial"/>
                <w:color w:val="EE0000"/>
                <w:sz w:val="22"/>
                <w:szCs w:val="22"/>
              </w:rPr>
              <w:t>X</w:t>
            </w:r>
          </w:p>
        </w:tc>
        <w:tc>
          <w:tcPr>
            <w:tcW w:w="4570" w:type="dxa"/>
          </w:tcPr>
          <w:p w14:paraId="601307B8" w14:textId="77777777" w:rsidR="009D695C" w:rsidRPr="00136683" w:rsidRDefault="009D695C" w:rsidP="00C165F0">
            <w:pPr>
              <w:rPr>
                <w:rFonts w:cs="Arial"/>
                <w:color w:val="EE0000"/>
                <w:sz w:val="22"/>
                <w:szCs w:val="22"/>
              </w:rPr>
            </w:pPr>
            <w:r w:rsidRPr="00136683">
              <w:rPr>
                <w:rFonts w:cs="Arial"/>
                <w:color w:val="EE0000"/>
                <w:sz w:val="22"/>
                <w:szCs w:val="22"/>
              </w:rPr>
              <w:t>X</w:t>
            </w:r>
          </w:p>
        </w:tc>
        <w:tc>
          <w:tcPr>
            <w:tcW w:w="4571" w:type="dxa"/>
          </w:tcPr>
          <w:p w14:paraId="551C03F8" w14:textId="77777777" w:rsidR="009D695C" w:rsidRPr="00136683" w:rsidRDefault="009D695C" w:rsidP="00C165F0">
            <w:pPr>
              <w:rPr>
                <w:rFonts w:cs="Arial"/>
                <w:color w:val="EE0000"/>
                <w:sz w:val="22"/>
                <w:szCs w:val="22"/>
              </w:rPr>
            </w:pPr>
            <w:r w:rsidRPr="00136683">
              <w:rPr>
                <w:rFonts w:cs="Arial"/>
                <w:color w:val="EE0000"/>
                <w:sz w:val="22"/>
                <w:szCs w:val="22"/>
              </w:rPr>
              <w:t>%</w:t>
            </w:r>
          </w:p>
        </w:tc>
      </w:tr>
    </w:tbl>
    <w:p w14:paraId="2A530E59" w14:textId="77777777" w:rsidR="009D695C" w:rsidRPr="006B3FD0" w:rsidRDefault="009D695C" w:rsidP="009D695C">
      <w:pPr>
        <w:rPr>
          <w:rFonts w:cs="Arial"/>
          <w:color w:val="000000" w:themeColor="text1"/>
        </w:rPr>
      </w:pPr>
    </w:p>
    <w:p w14:paraId="513AE615" w14:textId="2BE96BA5" w:rsidR="009D695C" w:rsidRPr="006B3FD0" w:rsidRDefault="009D695C" w:rsidP="009D695C">
      <w:pPr>
        <w:rPr>
          <w:rFonts w:cs="Arial"/>
          <w:color w:val="000000" w:themeColor="text1"/>
        </w:rPr>
      </w:pPr>
      <w:r w:rsidRPr="006B3FD0">
        <w:rPr>
          <w:rFonts w:cs="Arial"/>
          <w:color w:val="000000" w:themeColor="text1"/>
        </w:rPr>
        <w:t xml:space="preserve">For context, our in-house benchmark of what ‘good looks like’ in this area is advisers having successfully carried out </w:t>
      </w:r>
      <w:r w:rsidR="00136683" w:rsidRPr="00136683">
        <w:rPr>
          <w:rFonts w:cs="Arial"/>
          <w:color w:val="EE0000"/>
        </w:rPr>
        <w:t>?</w:t>
      </w:r>
      <w:r w:rsidRPr="00136683">
        <w:rPr>
          <w:rFonts w:cs="Arial"/>
          <w:color w:val="000000" w:themeColor="text1"/>
        </w:rPr>
        <w:t>%</w:t>
      </w:r>
      <w:r w:rsidRPr="006B3FD0">
        <w:rPr>
          <w:rFonts w:cs="Arial"/>
          <w:color w:val="000000" w:themeColor="text1"/>
        </w:rPr>
        <w:t xml:space="preserve"> of their annual reviews completed on time.</w:t>
      </w:r>
    </w:p>
    <w:p w14:paraId="6C302E5B" w14:textId="77CB6F53" w:rsidR="004871DC" w:rsidRPr="006B3FD0" w:rsidRDefault="004871DC" w:rsidP="004871DC">
      <w:pPr>
        <w:rPr>
          <w:rFonts w:cs="Arial"/>
          <w:bCs/>
          <w:color w:val="000000" w:themeColor="text1"/>
        </w:rPr>
      </w:pPr>
      <w:r w:rsidRPr="006B3FD0">
        <w:rPr>
          <w:rFonts w:cs="Arial"/>
          <w:bCs/>
          <w:color w:val="000000" w:themeColor="text1"/>
        </w:rPr>
        <w:t xml:space="preserve">Of </w:t>
      </w:r>
      <w:r w:rsidR="008860FC" w:rsidRPr="006B3FD0">
        <w:rPr>
          <w:rFonts w:cs="Arial"/>
          <w:bCs/>
          <w:color w:val="000000" w:themeColor="text1"/>
        </w:rPr>
        <w:t>the</w:t>
      </w:r>
      <w:r w:rsidRPr="006B3FD0">
        <w:rPr>
          <w:rFonts w:cs="Arial"/>
          <w:bCs/>
          <w:color w:val="000000" w:themeColor="text1"/>
        </w:rPr>
        <w:t xml:space="preserve"> reviews</w:t>
      </w:r>
      <w:r w:rsidR="008860FC" w:rsidRPr="006B3FD0">
        <w:rPr>
          <w:rFonts w:cs="Arial"/>
          <w:bCs/>
          <w:color w:val="000000" w:themeColor="text1"/>
        </w:rPr>
        <w:t xml:space="preserve"> not carried out</w:t>
      </w:r>
      <w:r w:rsidRPr="006B3FD0">
        <w:rPr>
          <w:rFonts w:cs="Arial"/>
          <w:bCs/>
          <w:color w:val="000000" w:themeColor="text1"/>
        </w:rPr>
        <w:t>:</w:t>
      </w:r>
    </w:p>
    <w:p w14:paraId="0F6F3DD7" w14:textId="77777777" w:rsidR="004871DC" w:rsidRPr="00136683" w:rsidRDefault="004871DC" w:rsidP="004871DC">
      <w:pPr>
        <w:pStyle w:val="ListParagraph"/>
        <w:numPr>
          <w:ilvl w:val="0"/>
          <w:numId w:val="35"/>
        </w:numPr>
        <w:rPr>
          <w:rFonts w:cs="Arial"/>
          <w:bCs/>
          <w:color w:val="EE0000"/>
        </w:rPr>
      </w:pPr>
      <w:r w:rsidRPr="00136683">
        <w:rPr>
          <w:rFonts w:cs="Arial"/>
          <w:bCs/>
          <w:color w:val="EE0000"/>
        </w:rPr>
        <w:t>X</w:t>
      </w:r>
      <w:r w:rsidRPr="00136683">
        <w:rPr>
          <w:rFonts w:cs="Arial"/>
          <w:bCs/>
          <w:color w:val="000000" w:themeColor="text1"/>
        </w:rPr>
        <w:t xml:space="preserve"> were missed due to </w:t>
      </w:r>
      <w:r w:rsidRPr="00136683">
        <w:rPr>
          <w:rFonts w:cs="Arial"/>
          <w:bCs/>
          <w:color w:val="EE0000"/>
        </w:rPr>
        <w:t>XYZ</w:t>
      </w:r>
    </w:p>
    <w:p w14:paraId="39A4206C" w14:textId="77777777" w:rsidR="004871DC" w:rsidRPr="00136683" w:rsidRDefault="004871DC" w:rsidP="004871DC">
      <w:pPr>
        <w:pStyle w:val="ListParagraph"/>
        <w:numPr>
          <w:ilvl w:val="0"/>
          <w:numId w:val="35"/>
        </w:numPr>
        <w:rPr>
          <w:rFonts w:cs="Arial"/>
          <w:bCs/>
          <w:color w:val="000000" w:themeColor="text1"/>
        </w:rPr>
      </w:pPr>
      <w:r w:rsidRPr="00136683">
        <w:rPr>
          <w:rFonts w:cs="Arial"/>
          <w:bCs/>
          <w:color w:val="EE0000"/>
        </w:rPr>
        <w:t xml:space="preserve">X </w:t>
      </w:r>
      <w:r w:rsidRPr="00136683">
        <w:rPr>
          <w:rFonts w:cs="Arial"/>
          <w:bCs/>
          <w:color w:val="000000" w:themeColor="text1"/>
        </w:rPr>
        <w:t xml:space="preserve">were missed due to </w:t>
      </w:r>
      <w:r w:rsidRPr="00136683">
        <w:rPr>
          <w:rFonts w:cs="Arial"/>
          <w:bCs/>
          <w:color w:val="EE0000"/>
        </w:rPr>
        <w:t>XYZ</w:t>
      </w:r>
    </w:p>
    <w:p w14:paraId="687C955D" w14:textId="77777777" w:rsidR="004871DC" w:rsidRPr="00136683" w:rsidRDefault="004871DC" w:rsidP="004871DC">
      <w:pPr>
        <w:pStyle w:val="ListParagraph"/>
        <w:numPr>
          <w:ilvl w:val="0"/>
          <w:numId w:val="35"/>
        </w:numPr>
        <w:rPr>
          <w:rFonts w:cs="Arial"/>
          <w:bCs/>
          <w:color w:val="EE0000"/>
        </w:rPr>
      </w:pPr>
      <w:r w:rsidRPr="00136683">
        <w:rPr>
          <w:rFonts w:cs="Arial"/>
          <w:bCs/>
          <w:color w:val="EE0000"/>
        </w:rPr>
        <w:t xml:space="preserve">X </w:t>
      </w:r>
      <w:r w:rsidRPr="00136683">
        <w:rPr>
          <w:rFonts w:cs="Arial"/>
          <w:bCs/>
          <w:color w:val="000000" w:themeColor="text1"/>
        </w:rPr>
        <w:t xml:space="preserve">were missed due to </w:t>
      </w:r>
      <w:r w:rsidRPr="00136683">
        <w:rPr>
          <w:rFonts w:cs="Arial"/>
          <w:bCs/>
          <w:color w:val="EE0000"/>
        </w:rPr>
        <w:t>XYZ</w:t>
      </w:r>
    </w:p>
    <w:p w14:paraId="0E7B1197" w14:textId="77777777" w:rsidR="004871DC" w:rsidRPr="00136683" w:rsidRDefault="004871DC" w:rsidP="004871DC">
      <w:pPr>
        <w:pStyle w:val="ListParagraph"/>
        <w:numPr>
          <w:ilvl w:val="0"/>
          <w:numId w:val="35"/>
        </w:numPr>
        <w:rPr>
          <w:rFonts w:cs="Arial"/>
          <w:bCs/>
          <w:color w:val="000000" w:themeColor="text1"/>
        </w:rPr>
      </w:pPr>
      <w:r w:rsidRPr="00136683">
        <w:rPr>
          <w:rFonts w:cs="Arial"/>
          <w:bCs/>
          <w:color w:val="EE0000"/>
        </w:rPr>
        <w:t>X</w:t>
      </w:r>
      <w:r w:rsidRPr="00136683">
        <w:rPr>
          <w:rFonts w:cs="Arial"/>
          <w:bCs/>
          <w:color w:val="000000" w:themeColor="text1"/>
        </w:rPr>
        <w:t xml:space="preserve"> were rescheduled and are due to place in the near future</w:t>
      </w:r>
    </w:p>
    <w:p w14:paraId="225E8A8D" w14:textId="77777777" w:rsidR="004871DC" w:rsidRPr="006B3FD0" w:rsidRDefault="004871DC" w:rsidP="004871DC">
      <w:pPr>
        <w:rPr>
          <w:rFonts w:cs="Arial"/>
          <w:bCs/>
          <w:color w:val="000000" w:themeColor="text1"/>
        </w:rPr>
      </w:pPr>
      <w:r w:rsidRPr="006B3FD0">
        <w:rPr>
          <w:rFonts w:cs="Arial"/>
          <w:bCs/>
          <w:color w:val="000000" w:themeColor="text1"/>
        </w:rPr>
        <w:lastRenderedPageBreak/>
        <w:t xml:space="preserve">After reviewing these figures, we remain confident that our controls in this area are fit for purpose as we document all attempted contact and try multiple times over a period of 3 weeks before setting the reviews down as ‘missed’. Even when a review is classified as missed, we ensure that the client receives a report that assesses suitability based on the most recent objectives/circumstances we hold on file and encourage client contact. </w:t>
      </w:r>
    </w:p>
    <w:p w14:paraId="4A9CAC1E" w14:textId="7DA8B498" w:rsidR="008860FC" w:rsidRPr="006B3FD0" w:rsidRDefault="008860FC" w:rsidP="004871DC">
      <w:pPr>
        <w:rPr>
          <w:rFonts w:cs="Arial"/>
          <w:bCs/>
          <w:color w:val="000000" w:themeColor="text1"/>
        </w:rPr>
      </w:pPr>
      <w:r w:rsidRPr="00136683">
        <w:rPr>
          <w:rFonts w:cs="Arial"/>
          <w:bCs/>
          <w:color w:val="000000" w:themeColor="text1"/>
          <w:highlight w:val="yellow"/>
        </w:rPr>
        <w:t xml:space="preserve">To note, we refunded a total of </w:t>
      </w:r>
      <w:r w:rsidRPr="00136683">
        <w:rPr>
          <w:rFonts w:cs="Arial"/>
          <w:bCs/>
          <w:color w:val="EE0000"/>
          <w:highlight w:val="yellow"/>
        </w:rPr>
        <w:t xml:space="preserve">X </w:t>
      </w:r>
      <w:r w:rsidRPr="00136683">
        <w:rPr>
          <w:rFonts w:cs="Arial"/>
          <w:bCs/>
          <w:color w:val="000000" w:themeColor="text1"/>
          <w:highlight w:val="yellow"/>
        </w:rPr>
        <w:t xml:space="preserve">clients </w:t>
      </w:r>
      <w:r w:rsidR="00CC75B7" w:rsidRPr="00136683">
        <w:rPr>
          <w:rFonts w:cs="Arial"/>
          <w:bCs/>
          <w:color w:val="000000" w:themeColor="text1"/>
          <w:highlight w:val="yellow"/>
        </w:rPr>
        <w:t>during this period for ‘missed reviews’ in line with FCA expectations.</w:t>
      </w:r>
      <w:r w:rsidR="00CC75B7" w:rsidRPr="00136683">
        <w:rPr>
          <w:rFonts w:cs="Arial"/>
          <w:bCs/>
          <w:color w:val="000000" w:themeColor="text1"/>
        </w:rPr>
        <w:t xml:space="preserve"> </w:t>
      </w:r>
    </w:p>
    <w:p w14:paraId="1FF5FBA5" w14:textId="3BF647B6" w:rsidR="004871DC" w:rsidRPr="006B3FD0" w:rsidRDefault="004871DC" w:rsidP="004871DC">
      <w:pPr>
        <w:rPr>
          <w:rFonts w:cs="Arial"/>
          <w:bCs/>
          <w:color w:val="000000" w:themeColor="text1"/>
          <w:u w:val="single"/>
        </w:rPr>
      </w:pPr>
      <w:r w:rsidRPr="006B3FD0">
        <w:rPr>
          <w:rFonts w:cs="Arial"/>
          <w:bCs/>
          <w:color w:val="000000" w:themeColor="text1"/>
          <w:u w:val="single"/>
        </w:rPr>
        <w:t xml:space="preserve">Target </w:t>
      </w:r>
      <w:r w:rsidR="00F00B5C" w:rsidRPr="006B3FD0">
        <w:rPr>
          <w:rFonts w:cs="Arial"/>
          <w:bCs/>
          <w:color w:val="000000" w:themeColor="text1"/>
          <w:u w:val="single"/>
        </w:rPr>
        <w:t>M</w:t>
      </w:r>
      <w:r w:rsidRPr="006B3FD0">
        <w:rPr>
          <w:rFonts w:cs="Arial"/>
          <w:bCs/>
          <w:color w:val="000000" w:themeColor="text1"/>
          <w:u w:val="single"/>
        </w:rPr>
        <w:t>arkets</w:t>
      </w:r>
    </w:p>
    <w:p w14:paraId="3AC3BA2A" w14:textId="77777777" w:rsidR="004871DC" w:rsidRPr="006B3FD0" w:rsidRDefault="004871DC" w:rsidP="004871DC">
      <w:pPr>
        <w:rPr>
          <w:rFonts w:cs="Arial"/>
          <w:bCs/>
          <w:color w:val="000000" w:themeColor="text1"/>
        </w:rPr>
      </w:pPr>
      <w:r w:rsidRPr="006B3FD0">
        <w:rPr>
          <w:rFonts w:cs="Arial"/>
          <w:bCs/>
          <w:color w:val="000000" w:themeColor="text1"/>
        </w:rPr>
        <w:t>We have previously identified our target markets, and these client cohorts were reviewed again before the Duty went live. We also take care in ensuring that manufacturer target market data is captured for products we distribute and are adhered to wherever possible.</w:t>
      </w:r>
    </w:p>
    <w:p w14:paraId="01C9B334" w14:textId="0A431274" w:rsidR="004871DC" w:rsidRPr="006B3FD0" w:rsidRDefault="004871DC" w:rsidP="004871DC">
      <w:pPr>
        <w:rPr>
          <w:rFonts w:cs="Arial"/>
          <w:bCs/>
          <w:color w:val="000000" w:themeColor="text1"/>
        </w:rPr>
      </w:pPr>
      <w:r w:rsidRPr="000C4D5A">
        <w:rPr>
          <w:rFonts w:cs="Arial"/>
          <w:bCs/>
          <w:color w:val="000000" w:themeColor="text1"/>
        </w:rPr>
        <w:t xml:space="preserve">Between </w:t>
      </w:r>
      <w:r w:rsidR="00AD1551" w:rsidRPr="000C4D5A">
        <w:rPr>
          <w:rFonts w:cs="Arial"/>
          <w:bCs/>
          <w:color w:val="000000" w:themeColor="text1"/>
        </w:rPr>
        <w:t>1</w:t>
      </w:r>
      <w:r w:rsidR="00AD1551" w:rsidRPr="000C4D5A">
        <w:rPr>
          <w:rFonts w:cs="Arial"/>
          <w:bCs/>
          <w:color w:val="000000" w:themeColor="text1"/>
          <w:vertAlign w:val="superscript"/>
        </w:rPr>
        <w:t>st</w:t>
      </w:r>
      <w:r w:rsidR="00AD1551" w:rsidRPr="000C4D5A">
        <w:rPr>
          <w:rFonts w:cs="Arial"/>
          <w:bCs/>
          <w:color w:val="000000" w:themeColor="text1"/>
        </w:rPr>
        <w:t xml:space="preserve"> August</w:t>
      </w:r>
      <w:r w:rsidRPr="000C4D5A">
        <w:rPr>
          <w:rFonts w:cs="Arial"/>
          <w:bCs/>
          <w:color w:val="000000" w:themeColor="text1"/>
        </w:rPr>
        <w:t xml:space="preserve"> 202</w:t>
      </w:r>
      <w:r w:rsidR="000C4D5A" w:rsidRPr="000C4D5A">
        <w:rPr>
          <w:rFonts w:cs="Arial"/>
          <w:bCs/>
          <w:color w:val="000000" w:themeColor="text1"/>
        </w:rPr>
        <w:t>5</w:t>
      </w:r>
      <w:r w:rsidRPr="000C4D5A">
        <w:rPr>
          <w:rFonts w:cs="Arial"/>
          <w:bCs/>
          <w:color w:val="000000" w:themeColor="text1"/>
        </w:rPr>
        <w:t xml:space="preserve"> to 1</w:t>
      </w:r>
      <w:r w:rsidRPr="000C4D5A">
        <w:rPr>
          <w:rFonts w:cs="Arial"/>
          <w:bCs/>
          <w:color w:val="000000" w:themeColor="text1"/>
          <w:vertAlign w:val="superscript"/>
        </w:rPr>
        <w:t>st</w:t>
      </w:r>
      <w:r w:rsidRPr="000C4D5A">
        <w:rPr>
          <w:rFonts w:cs="Arial"/>
          <w:bCs/>
          <w:color w:val="000000" w:themeColor="text1"/>
        </w:rPr>
        <w:t xml:space="preserve"> Ju</w:t>
      </w:r>
      <w:r w:rsidR="00AD1551" w:rsidRPr="000C4D5A">
        <w:rPr>
          <w:rFonts w:cs="Arial"/>
          <w:bCs/>
          <w:color w:val="000000" w:themeColor="text1"/>
        </w:rPr>
        <w:t>ly</w:t>
      </w:r>
      <w:r w:rsidRPr="000C4D5A">
        <w:rPr>
          <w:rFonts w:cs="Arial"/>
          <w:bCs/>
          <w:color w:val="000000" w:themeColor="text1"/>
        </w:rPr>
        <w:t xml:space="preserve"> 202</w:t>
      </w:r>
      <w:r w:rsidR="000C4D5A" w:rsidRPr="000C4D5A">
        <w:rPr>
          <w:rFonts w:cs="Arial"/>
          <w:bCs/>
          <w:color w:val="000000" w:themeColor="text1"/>
        </w:rPr>
        <w:t>6</w:t>
      </w:r>
      <w:r w:rsidRPr="006B3FD0">
        <w:rPr>
          <w:rFonts w:cs="Arial"/>
          <w:bCs/>
          <w:color w:val="000000" w:themeColor="text1"/>
        </w:rPr>
        <w:t xml:space="preserve">, we have established that </w:t>
      </w:r>
      <w:r w:rsidRPr="00136683">
        <w:rPr>
          <w:rFonts w:cs="Arial"/>
          <w:bCs/>
          <w:color w:val="EE0000"/>
        </w:rPr>
        <w:t>X</w:t>
      </w:r>
      <w:r w:rsidRPr="006B3FD0">
        <w:rPr>
          <w:rFonts w:cs="Arial"/>
          <w:bCs/>
          <w:color w:val="000000" w:themeColor="text1"/>
        </w:rPr>
        <w:t xml:space="preserve"> clients are currently invested in line with the relevant manufacturer target market, and </w:t>
      </w:r>
      <w:r w:rsidRPr="00136683">
        <w:rPr>
          <w:rFonts w:cs="Arial"/>
          <w:bCs/>
          <w:color w:val="EE0000"/>
        </w:rPr>
        <w:t xml:space="preserve">X </w:t>
      </w:r>
      <w:r w:rsidRPr="006B3FD0">
        <w:rPr>
          <w:rFonts w:cs="Arial"/>
          <w:bCs/>
          <w:color w:val="000000" w:themeColor="text1"/>
        </w:rPr>
        <w:t>clients are invested in products that would be deemed outside of the manufacturer’s stated target market</w:t>
      </w:r>
      <w:r w:rsidR="0075087B" w:rsidRPr="006B3FD0">
        <w:rPr>
          <w:rFonts w:cs="Arial"/>
          <w:bCs/>
          <w:color w:val="000000" w:themeColor="text1"/>
        </w:rPr>
        <w:t xml:space="preserve"> (i.e. negative target market)</w:t>
      </w:r>
      <w:r w:rsidRPr="006B3FD0">
        <w:rPr>
          <w:rFonts w:cs="Arial"/>
          <w:bCs/>
          <w:color w:val="000000" w:themeColor="text1"/>
        </w:rPr>
        <w:t>.</w:t>
      </w:r>
    </w:p>
    <w:p w14:paraId="31EC927B" w14:textId="51231FED" w:rsidR="004871DC" w:rsidRPr="006B3FD0" w:rsidRDefault="004871DC" w:rsidP="004871DC">
      <w:pPr>
        <w:rPr>
          <w:rFonts w:cs="Arial"/>
          <w:bCs/>
          <w:color w:val="000000" w:themeColor="text1"/>
        </w:rPr>
      </w:pPr>
      <w:r w:rsidRPr="006B3FD0">
        <w:rPr>
          <w:rFonts w:cs="Arial"/>
          <w:bCs/>
          <w:color w:val="000000" w:themeColor="text1"/>
        </w:rPr>
        <w:t xml:space="preserve">We regularly review these our client cohorts/target markets and confirm we are comfortable that these clients are still invested appropriately when factoring in their specific needs. </w:t>
      </w:r>
      <w:r w:rsidR="00E476E1" w:rsidRPr="00E476E1">
        <w:rPr>
          <w:rFonts w:cs="Arial"/>
          <w:bCs/>
          <w:color w:val="000000" w:themeColor="text1"/>
          <w:lang w:val="en-US"/>
        </w:rPr>
        <w:t xml:space="preserve">Where individual clients are invested outside of a manufacturer’s stated target market, this has been subject to enhanced suitability assessment and governance oversight, with the rationale clearly documented on file. These cases are reviewed on an ongoing basis to ensure that the client’s needs continue to be met and that the benefits of the arrangement continue to outweigh any potential risks. </w:t>
      </w:r>
      <w:r w:rsidRPr="00E476E1">
        <w:rPr>
          <w:rFonts w:cs="Arial"/>
          <w:bCs/>
          <w:color w:val="000000" w:themeColor="text1"/>
        </w:rPr>
        <w:t xml:space="preserve"> Standardising our client segmentation and</w:t>
      </w:r>
      <w:r w:rsidRPr="006B3FD0">
        <w:rPr>
          <w:rFonts w:cs="Arial"/>
          <w:bCs/>
          <w:color w:val="000000" w:themeColor="text1"/>
        </w:rPr>
        <w:t xml:space="preserve"> reviewing target markets on a regular basis means that our clients are in the correct product type to meet their needs. The process in place ensures a consistent level of service for our clients no matter who they </w:t>
      </w:r>
      <w:r w:rsidR="00E476E1">
        <w:rPr>
          <w:rFonts w:cs="Arial"/>
          <w:bCs/>
          <w:color w:val="000000" w:themeColor="text1"/>
        </w:rPr>
        <w:t>deal</w:t>
      </w:r>
      <w:r w:rsidRPr="006B3FD0">
        <w:rPr>
          <w:rFonts w:cs="Arial"/>
          <w:bCs/>
          <w:color w:val="000000" w:themeColor="text1"/>
        </w:rPr>
        <w:t xml:space="preserve"> with at the firm.</w:t>
      </w:r>
    </w:p>
    <w:p w14:paraId="5E086BEF" w14:textId="6CF8A082" w:rsidR="002931CD" w:rsidRPr="006B3FD0" w:rsidRDefault="00047D60" w:rsidP="002931CD">
      <w:pPr>
        <w:rPr>
          <w:rFonts w:cs="Arial"/>
          <w:bCs/>
          <w:color w:val="000000" w:themeColor="text1"/>
        </w:rPr>
      </w:pPr>
      <w:r w:rsidRPr="006B3FD0">
        <w:rPr>
          <w:rFonts w:cs="Arial"/>
          <w:bCs/>
          <w:color w:val="000000" w:themeColor="text1"/>
        </w:rPr>
        <w:t>This work is compl</w:t>
      </w:r>
      <w:r w:rsidR="00E476E1">
        <w:rPr>
          <w:rFonts w:cs="Arial"/>
          <w:bCs/>
          <w:color w:val="000000" w:themeColor="text1"/>
        </w:rPr>
        <w:t>e</w:t>
      </w:r>
      <w:r w:rsidRPr="006B3FD0">
        <w:rPr>
          <w:rFonts w:cs="Arial"/>
          <w:bCs/>
          <w:color w:val="000000" w:themeColor="text1"/>
        </w:rPr>
        <w:t xml:space="preserve">mented by our bi-annual Investment Committee </w:t>
      </w:r>
      <w:r w:rsidR="005B43B4" w:rsidRPr="006B3FD0">
        <w:rPr>
          <w:rFonts w:cs="Arial"/>
          <w:bCs/>
          <w:color w:val="000000" w:themeColor="text1"/>
        </w:rPr>
        <w:t xml:space="preserve">review of our investment </w:t>
      </w:r>
      <w:r w:rsidR="00BF4059" w:rsidRPr="006B3FD0">
        <w:rPr>
          <w:rFonts w:cs="Arial"/>
          <w:bCs/>
          <w:color w:val="000000" w:themeColor="text1"/>
        </w:rPr>
        <w:t>proposition, expanded on below.</w:t>
      </w:r>
    </w:p>
    <w:tbl>
      <w:tblPr>
        <w:tblStyle w:val="TableGrid"/>
        <w:tblW w:w="0" w:type="auto"/>
        <w:tblLook w:val="04A0" w:firstRow="1" w:lastRow="0" w:firstColumn="1" w:lastColumn="0" w:noHBand="0" w:noVBand="1"/>
      </w:tblPr>
      <w:tblGrid>
        <w:gridCol w:w="4508"/>
        <w:gridCol w:w="4508"/>
      </w:tblGrid>
      <w:tr w:rsidR="0089751D" w:rsidRPr="006B3FD0" w14:paraId="34BF9E4D" w14:textId="77777777" w:rsidTr="00C165F0">
        <w:tc>
          <w:tcPr>
            <w:tcW w:w="4508" w:type="dxa"/>
          </w:tcPr>
          <w:p w14:paraId="04219EF2" w14:textId="77777777" w:rsidR="002931CD" w:rsidRPr="006B3FD0" w:rsidRDefault="002931CD" w:rsidP="00C165F0">
            <w:pPr>
              <w:rPr>
                <w:rFonts w:cs="Arial"/>
                <w:b/>
                <w:color w:val="000000" w:themeColor="text1"/>
                <w:sz w:val="22"/>
                <w:szCs w:val="22"/>
              </w:rPr>
            </w:pPr>
            <w:r w:rsidRPr="006B3FD0">
              <w:rPr>
                <w:rFonts w:cs="Arial"/>
                <w:b/>
                <w:color w:val="000000" w:themeColor="text1"/>
                <w:sz w:val="22"/>
                <w:szCs w:val="22"/>
              </w:rPr>
              <w:t xml:space="preserve">Proposition </w:t>
            </w:r>
          </w:p>
        </w:tc>
        <w:tc>
          <w:tcPr>
            <w:tcW w:w="4508" w:type="dxa"/>
          </w:tcPr>
          <w:p w14:paraId="18DB6BB4" w14:textId="77777777" w:rsidR="002931CD" w:rsidRPr="006B3FD0" w:rsidRDefault="002931CD" w:rsidP="00C165F0">
            <w:pPr>
              <w:rPr>
                <w:rFonts w:cs="Arial"/>
                <w:b/>
                <w:color w:val="000000" w:themeColor="text1"/>
                <w:sz w:val="22"/>
                <w:szCs w:val="22"/>
              </w:rPr>
            </w:pPr>
            <w:r w:rsidRPr="006B3FD0">
              <w:rPr>
                <w:rFonts w:cs="Arial"/>
                <w:b/>
                <w:color w:val="000000" w:themeColor="text1"/>
                <w:sz w:val="22"/>
                <w:szCs w:val="22"/>
              </w:rPr>
              <w:t xml:space="preserve">No of Clients </w:t>
            </w:r>
          </w:p>
        </w:tc>
      </w:tr>
      <w:tr w:rsidR="0089751D" w:rsidRPr="006B3FD0" w14:paraId="5E7F78D1" w14:textId="77777777" w:rsidTr="00C165F0">
        <w:tc>
          <w:tcPr>
            <w:tcW w:w="4508" w:type="dxa"/>
          </w:tcPr>
          <w:p w14:paraId="3628B582" w14:textId="77777777" w:rsidR="002931CD" w:rsidRPr="00136683" w:rsidRDefault="002931CD" w:rsidP="00C165F0">
            <w:pPr>
              <w:rPr>
                <w:rFonts w:cs="Arial"/>
                <w:bCs/>
                <w:color w:val="EE0000"/>
                <w:sz w:val="22"/>
                <w:szCs w:val="22"/>
              </w:rPr>
            </w:pPr>
            <w:r w:rsidRPr="00136683">
              <w:rPr>
                <w:rFonts w:cs="Arial"/>
                <w:bCs/>
                <w:color w:val="EE0000"/>
                <w:sz w:val="22"/>
                <w:szCs w:val="22"/>
              </w:rPr>
              <w:t>Accumulation</w:t>
            </w:r>
          </w:p>
        </w:tc>
        <w:tc>
          <w:tcPr>
            <w:tcW w:w="4508" w:type="dxa"/>
          </w:tcPr>
          <w:p w14:paraId="52C80548" w14:textId="77777777" w:rsidR="002931CD" w:rsidRPr="00136683" w:rsidRDefault="002931CD" w:rsidP="00C165F0">
            <w:pPr>
              <w:rPr>
                <w:rFonts w:cs="Arial"/>
                <w:bCs/>
                <w:color w:val="EE0000"/>
                <w:sz w:val="22"/>
                <w:szCs w:val="22"/>
              </w:rPr>
            </w:pPr>
            <w:r w:rsidRPr="00136683">
              <w:rPr>
                <w:rFonts w:cs="Arial"/>
                <w:bCs/>
                <w:color w:val="EE0000"/>
                <w:sz w:val="22"/>
                <w:szCs w:val="22"/>
              </w:rPr>
              <w:t>X</w:t>
            </w:r>
          </w:p>
        </w:tc>
      </w:tr>
      <w:tr w:rsidR="0089751D" w:rsidRPr="006B3FD0" w14:paraId="4C72B6EC" w14:textId="77777777" w:rsidTr="00C165F0">
        <w:tc>
          <w:tcPr>
            <w:tcW w:w="4508" w:type="dxa"/>
          </w:tcPr>
          <w:p w14:paraId="5B4AC5B6" w14:textId="77777777" w:rsidR="002931CD" w:rsidRPr="00136683" w:rsidRDefault="002931CD" w:rsidP="00C165F0">
            <w:pPr>
              <w:rPr>
                <w:rFonts w:cs="Arial"/>
                <w:bCs/>
                <w:color w:val="EE0000"/>
                <w:sz w:val="22"/>
                <w:szCs w:val="22"/>
              </w:rPr>
            </w:pPr>
            <w:r w:rsidRPr="00136683">
              <w:rPr>
                <w:rFonts w:cs="Arial"/>
                <w:bCs/>
                <w:color w:val="EE0000"/>
                <w:sz w:val="22"/>
                <w:szCs w:val="22"/>
              </w:rPr>
              <w:t xml:space="preserve">Decumulation </w:t>
            </w:r>
          </w:p>
        </w:tc>
        <w:tc>
          <w:tcPr>
            <w:tcW w:w="4508" w:type="dxa"/>
          </w:tcPr>
          <w:p w14:paraId="5E8FC483" w14:textId="77777777" w:rsidR="002931CD" w:rsidRPr="00136683" w:rsidRDefault="002931CD" w:rsidP="00C165F0">
            <w:pPr>
              <w:rPr>
                <w:rFonts w:cs="Arial"/>
                <w:bCs/>
                <w:color w:val="EE0000"/>
                <w:sz w:val="22"/>
                <w:szCs w:val="22"/>
              </w:rPr>
            </w:pPr>
            <w:r w:rsidRPr="00136683">
              <w:rPr>
                <w:rFonts w:cs="Arial"/>
                <w:bCs/>
                <w:color w:val="EE0000"/>
                <w:sz w:val="22"/>
                <w:szCs w:val="22"/>
              </w:rPr>
              <w:t>X</w:t>
            </w:r>
          </w:p>
        </w:tc>
      </w:tr>
      <w:tr w:rsidR="0089751D" w:rsidRPr="006B3FD0" w14:paraId="76F1ED06" w14:textId="77777777" w:rsidTr="00C165F0">
        <w:tc>
          <w:tcPr>
            <w:tcW w:w="4508" w:type="dxa"/>
          </w:tcPr>
          <w:p w14:paraId="67E053B3" w14:textId="77777777" w:rsidR="002931CD" w:rsidRPr="00136683" w:rsidRDefault="002931CD" w:rsidP="00C165F0">
            <w:pPr>
              <w:rPr>
                <w:rFonts w:cs="Arial"/>
                <w:bCs/>
                <w:color w:val="EE0000"/>
                <w:sz w:val="22"/>
                <w:szCs w:val="22"/>
              </w:rPr>
            </w:pPr>
            <w:r w:rsidRPr="00136683">
              <w:rPr>
                <w:rFonts w:cs="Arial"/>
                <w:bCs/>
                <w:color w:val="EE0000"/>
                <w:sz w:val="22"/>
                <w:szCs w:val="22"/>
              </w:rPr>
              <w:t>Insert other categories that apply</w:t>
            </w:r>
          </w:p>
        </w:tc>
        <w:tc>
          <w:tcPr>
            <w:tcW w:w="4508" w:type="dxa"/>
          </w:tcPr>
          <w:p w14:paraId="23F7DD4F" w14:textId="77777777" w:rsidR="002931CD" w:rsidRPr="00136683" w:rsidRDefault="002931CD" w:rsidP="00C165F0">
            <w:pPr>
              <w:rPr>
                <w:rFonts w:cs="Arial"/>
                <w:bCs/>
                <w:color w:val="EE0000"/>
                <w:sz w:val="22"/>
                <w:szCs w:val="22"/>
              </w:rPr>
            </w:pPr>
            <w:r w:rsidRPr="00136683">
              <w:rPr>
                <w:rFonts w:cs="Arial"/>
                <w:bCs/>
                <w:color w:val="EE0000"/>
                <w:sz w:val="22"/>
                <w:szCs w:val="22"/>
              </w:rPr>
              <w:t>X</w:t>
            </w:r>
          </w:p>
        </w:tc>
      </w:tr>
      <w:tr w:rsidR="0089751D" w:rsidRPr="006B3FD0" w14:paraId="31D3794E" w14:textId="77777777" w:rsidTr="00C165F0">
        <w:tc>
          <w:tcPr>
            <w:tcW w:w="4508" w:type="dxa"/>
          </w:tcPr>
          <w:p w14:paraId="3A1EEA67" w14:textId="77777777" w:rsidR="002931CD" w:rsidRPr="00136683" w:rsidRDefault="002931CD" w:rsidP="00C165F0">
            <w:pPr>
              <w:rPr>
                <w:rFonts w:cs="Arial"/>
                <w:bCs/>
                <w:color w:val="EE0000"/>
                <w:sz w:val="22"/>
                <w:szCs w:val="22"/>
              </w:rPr>
            </w:pPr>
            <w:r w:rsidRPr="00136683">
              <w:rPr>
                <w:rFonts w:cs="Arial"/>
                <w:bCs/>
                <w:color w:val="EE0000"/>
                <w:sz w:val="22"/>
                <w:szCs w:val="22"/>
              </w:rPr>
              <w:t>Insert other categories that apply</w:t>
            </w:r>
          </w:p>
        </w:tc>
        <w:tc>
          <w:tcPr>
            <w:tcW w:w="4508" w:type="dxa"/>
          </w:tcPr>
          <w:p w14:paraId="4F13488F" w14:textId="77777777" w:rsidR="002931CD" w:rsidRPr="00136683" w:rsidRDefault="002931CD" w:rsidP="00C165F0">
            <w:pPr>
              <w:rPr>
                <w:rFonts w:cs="Arial"/>
                <w:bCs/>
                <w:color w:val="EE0000"/>
                <w:sz w:val="22"/>
                <w:szCs w:val="22"/>
              </w:rPr>
            </w:pPr>
            <w:r w:rsidRPr="00136683">
              <w:rPr>
                <w:rFonts w:cs="Arial"/>
                <w:bCs/>
                <w:color w:val="EE0000"/>
                <w:sz w:val="22"/>
                <w:szCs w:val="22"/>
              </w:rPr>
              <w:t>X</w:t>
            </w:r>
          </w:p>
        </w:tc>
      </w:tr>
    </w:tbl>
    <w:p w14:paraId="1E89BE2D" w14:textId="77777777" w:rsidR="009B0303" w:rsidRPr="006B3FD0" w:rsidRDefault="009B0303" w:rsidP="004871DC">
      <w:pPr>
        <w:rPr>
          <w:rFonts w:cs="Arial"/>
          <w:bCs/>
          <w:color w:val="000000" w:themeColor="text1"/>
          <w:u w:val="single"/>
        </w:rPr>
      </w:pPr>
    </w:p>
    <w:p w14:paraId="5BBC4230" w14:textId="78DF032D" w:rsidR="004871DC" w:rsidRPr="006B3FD0" w:rsidRDefault="004871DC" w:rsidP="004871DC">
      <w:pPr>
        <w:rPr>
          <w:rFonts w:cs="Arial"/>
          <w:bCs/>
          <w:color w:val="000000" w:themeColor="text1"/>
          <w:u w:val="single"/>
        </w:rPr>
      </w:pPr>
      <w:r w:rsidRPr="006B3FD0">
        <w:rPr>
          <w:rFonts w:cs="Arial"/>
          <w:bCs/>
          <w:color w:val="000000" w:themeColor="text1"/>
          <w:u w:val="single"/>
        </w:rPr>
        <w:t xml:space="preserve">Investment Proposition </w:t>
      </w:r>
    </w:p>
    <w:p w14:paraId="7D3A3872" w14:textId="43575D07" w:rsidR="004871DC" w:rsidRPr="006B3FD0" w:rsidRDefault="004871DC" w:rsidP="004871DC">
      <w:pPr>
        <w:jc w:val="both"/>
        <w:rPr>
          <w:rFonts w:cs="Arial"/>
          <w:bCs/>
          <w:color w:val="000000" w:themeColor="text1"/>
        </w:rPr>
      </w:pPr>
      <w:r w:rsidRPr="006B3FD0">
        <w:rPr>
          <w:rFonts w:cs="Arial"/>
          <w:bCs/>
          <w:color w:val="000000" w:themeColor="text1"/>
        </w:rPr>
        <w:t xml:space="preserve">The Firm’s investment proposition is reviewed </w:t>
      </w:r>
      <w:r w:rsidR="009907DD" w:rsidRPr="00136683">
        <w:rPr>
          <w:rFonts w:cs="Arial"/>
          <w:bCs/>
          <w:color w:val="EE0000"/>
        </w:rPr>
        <w:t>annually/</w:t>
      </w:r>
      <w:r w:rsidRPr="00136683">
        <w:rPr>
          <w:rFonts w:cs="Arial"/>
          <w:bCs/>
          <w:color w:val="EE0000"/>
        </w:rPr>
        <w:t>bi</w:t>
      </w:r>
      <w:r w:rsidR="00BF4059" w:rsidRPr="00136683">
        <w:rPr>
          <w:rFonts w:cs="Arial"/>
          <w:bCs/>
          <w:color w:val="EE0000"/>
        </w:rPr>
        <w:t>-</w:t>
      </w:r>
      <w:r w:rsidRPr="00136683">
        <w:rPr>
          <w:rFonts w:cs="Arial"/>
          <w:bCs/>
          <w:color w:val="EE0000"/>
        </w:rPr>
        <w:t xml:space="preserve">annually </w:t>
      </w:r>
      <w:r w:rsidRPr="006B3FD0">
        <w:rPr>
          <w:rFonts w:cs="Arial"/>
          <w:bCs/>
          <w:color w:val="000000" w:themeColor="text1"/>
        </w:rPr>
        <w:t xml:space="preserve">and in the last 12 months any changes made have been based on the research carried out internally and information provided by the manufacturers. The investment proposition is backed by market research, comparisons with alternatives, and fair value.  </w:t>
      </w:r>
    </w:p>
    <w:p w14:paraId="1E45DE1B" w14:textId="2722B172" w:rsidR="00A46FC2" w:rsidRPr="006B3FD0" w:rsidRDefault="004871DC" w:rsidP="004871DC">
      <w:pPr>
        <w:rPr>
          <w:rFonts w:cs="Arial"/>
          <w:bCs/>
          <w:color w:val="000000" w:themeColor="text1"/>
        </w:rPr>
      </w:pPr>
      <w:r w:rsidRPr="00136683">
        <w:rPr>
          <w:rFonts w:cs="Arial"/>
          <w:bCs/>
          <w:color w:val="000000" w:themeColor="text1"/>
          <w:highlight w:val="yellow"/>
        </w:rPr>
        <w:lastRenderedPageBreak/>
        <w:t xml:space="preserve">As a result of the work in this area, we have removed </w:t>
      </w:r>
      <w:r w:rsidRPr="00136683">
        <w:rPr>
          <w:rFonts w:cs="Arial"/>
          <w:bCs/>
          <w:color w:val="EE0000"/>
          <w:highlight w:val="yellow"/>
        </w:rPr>
        <w:t>X</w:t>
      </w:r>
      <w:r w:rsidRPr="00136683">
        <w:rPr>
          <w:rFonts w:cs="Arial"/>
          <w:bCs/>
          <w:color w:val="000000" w:themeColor="text1"/>
          <w:highlight w:val="yellow"/>
        </w:rPr>
        <w:t xml:space="preserve"> funds from our proposition and/or added </w:t>
      </w:r>
      <w:r w:rsidRPr="00136683">
        <w:rPr>
          <w:rFonts w:cs="Arial"/>
          <w:bCs/>
          <w:color w:val="EE0000"/>
          <w:highlight w:val="yellow"/>
        </w:rPr>
        <w:t xml:space="preserve">X </w:t>
      </w:r>
      <w:r w:rsidRPr="00136683">
        <w:rPr>
          <w:rFonts w:cs="Arial"/>
          <w:bCs/>
          <w:color w:val="000000" w:themeColor="text1"/>
          <w:highlight w:val="yellow"/>
        </w:rPr>
        <w:t xml:space="preserve">funds as a result of </w:t>
      </w:r>
      <w:r w:rsidRPr="00136683">
        <w:rPr>
          <w:rFonts w:cs="Arial"/>
          <w:bCs/>
          <w:color w:val="EE0000"/>
          <w:highlight w:val="yellow"/>
        </w:rPr>
        <w:t>XYZ</w:t>
      </w:r>
      <w:r w:rsidRPr="00136683">
        <w:rPr>
          <w:rFonts w:cs="Arial"/>
          <w:bCs/>
          <w:color w:val="000000" w:themeColor="text1"/>
          <w:highlight w:val="yellow"/>
        </w:rPr>
        <w:t>.</w:t>
      </w:r>
    </w:p>
    <w:p w14:paraId="1B1C7C51" w14:textId="1B6006EE" w:rsidR="00F00B5C" w:rsidRPr="00136683" w:rsidRDefault="00F00B5C" w:rsidP="00B62D46">
      <w:pPr>
        <w:rPr>
          <w:rFonts w:cs="Arial"/>
          <w:bCs/>
          <w:color w:val="000000" w:themeColor="text1"/>
          <w:highlight w:val="yellow"/>
          <w:u w:val="single"/>
        </w:rPr>
      </w:pPr>
      <w:r w:rsidRPr="00136683">
        <w:rPr>
          <w:rFonts w:cs="Arial"/>
          <w:bCs/>
          <w:color w:val="000000" w:themeColor="text1"/>
          <w:highlight w:val="yellow"/>
          <w:u w:val="single"/>
        </w:rPr>
        <w:t>Process Improvement Within Our Proposition</w:t>
      </w:r>
    </w:p>
    <w:p w14:paraId="37FFD452" w14:textId="4E1CF70E" w:rsidR="00F00B5C" w:rsidRPr="006B3FD0" w:rsidRDefault="00F00B5C" w:rsidP="00B62D46">
      <w:pPr>
        <w:rPr>
          <w:rFonts w:cs="Arial"/>
          <w:bCs/>
          <w:color w:val="000000" w:themeColor="text1"/>
        </w:rPr>
      </w:pPr>
      <w:r w:rsidRPr="00136683">
        <w:rPr>
          <w:rFonts w:cs="Arial"/>
          <w:bCs/>
          <w:color w:val="000000" w:themeColor="text1"/>
          <w:highlight w:val="yellow"/>
        </w:rPr>
        <w:t xml:space="preserve">Reflecting on FCA work in the Retirement Income Advice space, cashflow modelling </w:t>
      </w:r>
      <w:r w:rsidR="00415158" w:rsidRPr="00136683">
        <w:rPr>
          <w:rFonts w:cs="Arial"/>
          <w:bCs/>
          <w:color w:val="000000" w:themeColor="text1"/>
          <w:highlight w:val="yellow"/>
        </w:rPr>
        <w:t>makes up a fundamental part of our decumulation process and is</w:t>
      </w:r>
      <w:r w:rsidRPr="00136683">
        <w:rPr>
          <w:rFonts w:cs="Arial"/>
          <w:bCs/>
          <w:color w:val="000000" w:themeColor="text1"/>
          <w:highlight w:val="yellow"/>
        </w:rPr>
        <w:t xml:space="preserve"> included within our ongoing service charge </w:t>
      </w:r>
      <w:r w:rsidR="00415158" w:rsidRPr="00136683">
        <w:rPr>
          <w:rFonts w:cs="Arial"/>
          <w:bCs/>
          <w:color w:val="000000" w:themeColor="text1"/>
          <w:highlight w:val="yellow"/>
        </w:rPr>
        <w:t xml:space="preserve">(for decumulation clients) </w:t>
      </w:r>
      <w:r w:rsidRPr="00136683">
        <w:rPr>
          <w:rFonts w:cs="Arial"/>
          <w:bCs/>
          <w:color w:val="000000" w:themeColor="text1"/>
          <w:highlight w:val="yellow"/>
        </w:rPr>
        <w:t>as standard</w:t>
      </w:r>
      <w:r w:rsidR="00415158" w:rsidRPr="00136683">
        <w:rPr>
          <w:rFonts w:cs="Arial"/>
          <w:bCs/>
          <w:color w:val="000000" w:themeColor="text1"/>
          <w:highlight w:val="yellow"/>
        </w:rPr>
        <w:t xml:space="preserve">. The benefit of this </w:t>
      </w:r>
      <w:r w:rsidR="005005E6" w:rsidRPr="00136683">
        <w:rPr>
          <w:rFonts w:cs="Arial"/>
          <w:bCs/>
          <w:color w:val="000000" w:themeColor="text1"/>
          <w:highlight w:val="yellow"/>
        </w:rPr>
        <w:t>is that it</w:t>
      </w:r>
      <w:r w:rsidRPr="00136683">
        <w:rPr>
          <w:rFonts w:cs="Arial"/>
          <w:bCs/>
          <w:color w:val="000000" w:themeColor="text1"/>
          <w:highlight w:val="yellow"/>
        </w:rPr>
        <w:t xml:space="preserve"> allows client</w:t>
      </w:r>
      <w:r w:rsidR="005005E6" w:rsidRPr="00136683">
        <w:rPr>
          <w:rFonts w:cs="Arial"/>
          <w:bCs/>
          <w:color w:val="000000" w:themeColor="text1"/>
          <w:highlight w:val="yellow"/>
        </w:rPr>
        <w:t>s</w:t>
      </w:r>
      <w:r w:rsidRPr="00136683">
        <w:rPr>
          <w:rFonts w:cs="Arial"/>
          <w:bCs/>
          <w:color w:val="000000" w:themeColor="text1"/>
          <w:highlight w:val="yellow"/>
        </w:rPr>
        <w:t xml:space="preserve"> to plan in detail towards and during retirement. We feel this provides additional value, especially when compared to ‘standard’ offerings from the cost of products and services elsewhere in the market.</w:t>
      </w:r>
    </w:p>
    <w:p w14:paraId="2D2EDBA3" w14:textId="77777777" w:rsidR="001A778D" w:rsidRPr="006B3FD0" w:rsidRDefault="001A778D" w:rsidP="001A778D">
      <w:pPr>
        <w:rPr>
          <w:rFonts w:cs="Arial"/>
          <w:color w:val="000000" w:themeColor="text1"/>
          <w:u w:val="single"/>
        </w:rPr>
      </w:pPr>
      <w:r w:rsidRPr="006B3FD0">
        <w:rPr>
          <w:rFonts w:cs="Arial"/>
          <w:color w:val="000000" w:themeColor="text1"/>
          <w:u w:val="single"/>
        </w:rPr>
        <w:t xml:space="preserve">Suitability &amp; Client Files </w:t>
      </w:r>
    </w:p>
    <w:p w14:paraId="79ACBDD9" w14:textId="5431897D" w:rsidR="001A778D" w:rsidRPr="006B3FD0" w:rsidRDefault="001A778D" w:rsidP="001A778D">
      <w:pPr>
        <w:rPr>
          <w:rFonts w:cs="Arial"/>
          <w:color w:val="000000" w:themeColor="text1"/>
        </w:rPr>
      </w:pPr>
      <w:r w:rsidRPr="006B3FD0">
        <w:rPr>
          <w:rFonts w:cs="Arial"/>
          <w:color w:val="000000" w:themeColor="text1"/>
        </w:rPr>
        <w:t xml:space="preserve">The firm retains comprehensive records demonstrating that each recommendation meets the </w:t>
      </w:r>
      <w:r w:rsidR="00655A7A" w:rsidRPr="006B3FD0">
        <w:rPr>
          <w:rFonts w:cs="Arial"/>
          <w:color w:val="000000" w:themeColor="text1"/>
        </w:rPr>
        <w:t>clients’</w:t>
      </w:r>
      <w:r w:rsidRPr="006B3FD0">
        <w:rPr>
          <w:rFonts w:cs="Arial"/>
          <w:color w:val="000000" w:themeColor="text1"/>
        </w:rPr>
        <w:t xml:space="preserve"> needs and objectives. </w:t>
      </w:r>
      <w:r w:rsidR="00655A7A" w:rsidRPr="006B3FD0">
        <w:rPr>
          <w:rFonts w:cs="Arial"/>
          <w:color w:val="000000" w:themeColor="text1"/>
        </w:rPr>
        <w:t>Advice</w:t>
      </w:r>
      <w:r w:rsidRPr="006B3FD0">
        <w:rPr>
          <w:rFonts w:cs="Arial"/>
          <w:color w:val="000000" w:themeColor="text1"/>
        </w:rPr>
        <w:t xml:space="preserve"> files must include meeting notes to evidence client needs and objectives</w:t>
      </w:r>
      <w:r w:rsidR="00E179B3" w:rsidRPr="006B3FD0">
        <w:rPr>
          <w:rFonts w:cs="Arial"/>
          <w:color w:val="000000" w:themeColor="text1"/>
        </w:rPr>
        <w:t xml:space="preserve">. Suitability reports are required to explain how the recommended product meets the client’s specific circumstances and the research on file should </w:t>
      </w:r>
      <w:r w:rsidR="00CE14D6" w:rsidRPr="006B3FD0">
        <w:rPr>
          <w:rFonts w:cs="Arial"/>
          <w:color w:val="000000" w:themeColor="text1"/>
        </w:rPr>
        <w:t>tie up with the advice given.</w:t>
      </w:r>
    </w:p>
    <w:p w14:paraId="2901DEFE" w14:textId="06B299DD" w:rsidR="005005E6" w:rsidRPr="006B3FD0" w:rsidRDefault="00CE14D6" w:rsidP="00B62D46">
      <w:pPr>
        <w:rPr>
          <w:rFonts w:cs="Arial"/>
          <w:bCs/>
          <w:color w:val="000000" w:themeColor="text1"/>
        </w:rPr>
      </w:pPr>
      <w:r w:rsidRPr="00136683">
        <w:rPr>
          <w:rFonts w:cs="Arial"/>
          <w:bCs/>
          <w:color w:val="000000" w:themeColor="text1"/>
        </w:rPr>
        <w:t xml:space="preserve">Over the reporting period, </w:t>
      </w:r>
      <w:r w:rsidR="002B700A" w:rsidRPr="00136683">
        <w:rPr>
          <w:rFonts w:cs="Arial"/>
          <w:bCs/>
          <w:color w:val="EE0000"/>
        </w:rPr>
        <w:t>X</w:t>
      </w:r>
      <w:r w:rsidR="002B700A" w:rsidRPr="00136683">
        <w:rPr>
          <w:rFonts w:cs="Arial"/>
          <w:bCs/>
          <w:color w:val="000000" w:themeColor="text1"/>
        </w:rPr>
        <w:t xml:space="preserve"> number of</w:t>
      </w:r>
      <w:r w:rsidRPr="00136683">
        <w:rPr>
          <w:rFonts w:cs="Arial"/>
          <w:bCs/>
          <w:color w:val="000000" w:themeColor="text1"/>
        </w:rPr>
        <w:t xml:space="preserve"> advice file reviews </w:t>
      </w:r>
      <w:r w:rsidR="002B700A" w:rsidRPr="00136683">
        <w:rPr>
          <w:rFonts w:cs="Arial"/>
          <w:bCs/>
          <w:color w:val="000000" w:themeColor="text1"/>
        </w:rPr>
        <w:t xml:space="preserve">were reviewed, and the </w:t>
      </w:r>
      <w:r w:rsidR="004B39C3" w:rsidRPr="00136683">
        <w:rPr>
          <w:rFonts w:cs="Arial"/>
          <w:bCs/>
          <w:color w:val="000000" w:themeColor="text1"/>
        </w:rPr>
        <w:t>grades were as follows:</w:t>
      </w:r>
    </w:p>
    <w:tbl>
      <w:tblPr>
        <w:tblStyle w:val="TableGrid"/>
        <w:tblW w:w="0" w:type="auto"/>
        <w:tblLook w:val="04A0" w:firstRow="1" w:lastRow="0" w:firstColumn="1" w:lastColumn="0" w:noHBand="0" w:noVBand="1"/>
      </w:tblPr>
      <w:tblGrid>
        <w:gridCol w:w="3114"/>
        <w:gridCol w:w="2268"/>
      </w:tblGrid>
      <w:tr w:rsidR="0089751D" w:rsidRPr="006B3FD0" w14:paraId="3F948624" w14:textId="77777777" w:rsidTr="008A2814">
        <w:tc>
          <w:tcPr>
            <w:tcW w:w="3114" w:type="dxa"/>
          </w:tcPr>
          <w:p w14:paraId="74A9C76E" w14:textId="38FD9FA1" w:rsidR="0002602B" w:rsidRPr="006B3FD0" w:rsidRDefault="0002602B" w:rsidP="00B62D46">
            <w:pPr>
              <w:rPr>
                <w:rFonts w:cs="Arial"/>
                <w:b/>
                <w:color w:val="000000" w:themeColor="text1"/>
              </w:rPr>
            </w:pPr>
            <w:r w:rsidRPr="006B3FD0">
              <w:rPr>
                <w:rFonts w:cs="Arial"/>
                <w:b/>
                <w:color w:val="000000" w:themeColor="text1"/>
              </w:rPr>
              <w:t>Grade</w:t>
            </w:r>
          </w:p>
        </w:tc>
        <w:tc>
          <w:tcPr>
            <w:tcW w:w="2268" w:type="dxa"/>
          </w:tcPr>
          <w:p w14:paraId="3054C84A" w14:textId="6585A327" w:rsidR="0002602B" w:rsidRPr="006B3FD0" w:rsidRDefault="0002602B" w:rsidP="00B62D46">
            <w:pPr>
              <w:rPr>
                <w:rFonts w:cs="Arial"/>
                <w:b/>
                <w:color w:val="000000" w:themeColor="text1"/>
              </w:rPr>
            </w:pPr>
            <w:r w:rsidRPr="006B3FD0">
              <w:rPr>
                <w:rFonts w:cs="Arial"/>
                <w:b/>
                <w:color w:val="000000" w:themeColor="text1"/>
              </w:rPr>
              <w:t>Number of cases</w:t>
            </w:r>
          </w:p>
        </w:tc>
      </w:tr>
      <w:tr w:rsidR="0089751D" w:rsidRPr="006B3FD0" w14:paraId="05F20CEE" w14:textId="77777777" w:rsidTr="008A2814">
        <w:tc>
          <w:tcPr>
            <w:tcW w:w="3114" w:type="dxa"/>
          </w:tcPr>
          <w:p w14:paraId="3FEAE2F4" w14:textId="1D1C068E" w:rsidR="0002602B" w:rsidRPr="00136683" w:rsidRDefault="0002602B" w:rsidP="00B62D46">
            <w:pPr>
              <w:rPr>
                <w:rFonts w:cs="Arial"/>
                <w:bCs/>
                <w:color w:val="000000" w:themeColor="text1"/>
              </w:rPr>
            </w:pPr>
            <w:r w:rsidRPr="00136683">
              <w:rPr>
                <w:rFonts w:cs="Arial"/>
                <w:bCs/>
                <w:color w:val="000000" w:themeColor="text1"/>
              </w:rPr>
              <w:t>A - Suitable</w:t>
            </w:r>
          </w:p>
        </w:tc>
        <w:tc>
          <w:tcPr>
            <w:tcW w:w="2268" w:type="dxa"/>
          </w:tcPr>
          <w:p w14:paraId="3111763F" w14:textId="28021557" w:rsidR="0002602B" w:rsidRPr="006B3FD0" w:rsidRDefault="00136683" w:rsidP="00B62D46">
            <w:pPr>
              <w:rPr>
                <w:rFonts w:cs="Arial"/>
                <w:bCs/>
                <w:color w:val="000000" w:themeColor="text1"/>
              </w:rPr>
            </w:pPr>
            <w:r w:rsidRPr="00136683">
              <w:rPr>
                <w:rFonts w:cs="Arial"/>
                <w:bCs/>
                <w:color w:val="EE0000"/>
                <w:sz w:val="22"/>
                <w:szCs w:val="22"/>
              </w:rPr>
              <w:t>X</w:t>
            </w:r>
          </w:p>
        </w:tc>
      </w:tr>
      <w:tr w:rsidR="0089751D" w:rsidRPr="006B3FD0" w14:paraId="256F1C02" w14:textId="77777777" w:rsidTr="008A2814">
        <w:tc>
          <w:tcPr>
            <w:tcW w:w="3114" w:type="dxa"/>
          </w:tcPr>
          <w:p w14:paraId="31E6C939" w14:textId="394BA483" w:rsidR="0002602B" w:rsidRPr="00136683" w:rsidRDefault="0002602B" w:rsidP="00B62D46">
            <w:pPr>
              <w:rPr>
                <w:rFonts w:cs="Arial"/>
                <w:bCs/>
                <w:color w:val="000000" w:themeColor="text1"/>
              </w:rPr>
            </w:pPr>
            <w:r w:rsidRPr="00136683">
              <w:rPr>
                <w:rFonts w:cs="Arial"/>
                <w:bCs/>
                <w:color w:val="000000" w:themeColor="text1"/>
              </w:rPr>
              <w:t>B</w:t>
            </w:r>
            <w:r w:rsidR="008A2814" w:rsidRPr="00136683">
              <w:rPr>
                <w:rFonts w:cs="Arial"/>
                <w:bCs/>
                <w:color w:val="000000" w:themeColor="text1"/>
              </w:rPr>
              <w:t xml:space="preserve"> - Suitable with compliance / process issues</w:t>
            </w:r>
          </w:p>
        </w:tc>
        <w:tc>
          <w:tcPr>
            <w:tcW w:w="2268" w:type="dxa"/>
          </w:tcPr>
          <w:p w14:paraId="7DC26379" w14:textId="72F97FF2" w:rsidR="0002602B" w:rsidRPr="006B3FD0" w:rsidRDefault="00136683" w:rsidP="00B62D46">
            <w:pPr>
              <w:rPr>
                <w:rFonts w:cs="Arial"/>
                <w:bCs/>
                <w:color w:val="000000" w:themeColor="text1"/>
              </w:rPr>
            </w:pPr>
            <w:r w:rsidRPr="00136683">
              <w:rPr>
                <w:rFonts w:cs="Arial"/>
                <w:bCs/>
                <w:color w:val="EE0000"/>
                <w:sz w:val="22"/>
                <w:szCs w:val="22"/>
              </w:rPr>
              <w:t>X</w:t>
            </w:r>
          </w:p>
        </w:tc>
      </w:tr>
      <w:tr w:rsidR="0089751D" w:rsidRPr="006B3FD0" w14:paraId="716612FE" w14:textId="77777777" w:rsidTr="008A2814">
        <w:tc>
          <w:tcPr>
            <w:tcW w:w="3114" w:type="dxa"/>
          </w:tcPr>
          <w:p w14:paraId="329246BA" w14:textId="37ABAD28" w:rsidR="0002602B" w:rsidRPr="00136683" w:rsidRDefault="0002602B" w:rsidP="00B62D46">
            <w:pPr>
              <w:rPr>
                <w:rFonts w:cs="Arial"/>
                <w:bCs/>
                <w:color w:val="000000" w:themeColor="text1"/>
              </w:rPr>
            </w:pPr>
            <w:r w:rsidRPr="00136683">
              <w:rPr>
                <w:rFonts w:cs="Arial"/>
                <w:bCs/>
                <w:color w:val="000000" w:themeColor="text1"/>
              </w:rPr>
              <w:t>C - Unclear</w:t>
            </w:r>
          </w:p>
        </w:tc>
        <w:tc>
          <w:tcPr>
            <w:tcW w:w="2268" w:type="dxa"/>
          </w:tcPr>
          <w:p w14:paraId="30B02AC8" w14:textId="68AE62D8" w:rsidR="0002602B" w:rsidRPr="006B3FD0" w:rsidRDefault="00136683" w:rsidP="00B62D46">
            <w:pPr>
              <w:rPr>
                <w:rFonts w:cs="Arial"/>
                <w:bCs/>
                <w:color w:val="000000" w:themeColor="text1"/>
              </w:rPr>
            </w:pPr>
            <w:r w:rsidRPr="00136683">
              <w:rPr>
                <w:rFonts w:cs="Arial"/>
                <w:bCs/>
                <w:color w:val="EE0000"/>
                <w:sz w:val="22"/>
                <w:szCs w:val="22"/>
              </w:rPr>
              <w:t>X</w:t>
            </w:r>
          </w:p>
        </w:tc>
      </w:tr>
      <w:tr w:rsidR="0089751D" w:rsidRPr="006B3FD0" w14:paraId="63EB55D7" w14:textId="77777777" w:rsidTr="008A2814">
        <w:tc>
          <w:tcPr>
            <w:tcW w:w="3114" w:type="dxa"/>
          </w:tcPr>
          <w:p w14:paraId="73F3A064" w14:textId="5FB3A2BA" w:rsidR="0002602B" w:rsidRPr="00136683" w:rsidRDefault="0002602B" w:rsidP="00B62D46">
            <w:pPr>
              <w:rPr>
                <w:rFonts w:cs="Arial"/>
                <w:bCs/>
                <w:color w:val="000000" w:themeColor="text1"/>
              </w:rPr>
            </w:pPr>
            <w:r w:rsidRPr="00136683">
              <w:rPr>
                <w:rFonts w:cs="Arial"/>
                <w:bCs/>
                <w:color w:val="000000" w:themeColor="text1"/>
              </w:rPr>
              <w:t>D - Unsafe</w:t>
            </w:r>
          </w:p>
        </w:tc>
        <w:tc>
          <w:tcPr>
            <w:tcW w:w="2268" w:type="dxa"/>
          </w:tcPr>
          <w:p w14:paraId="645D21EC" w14:textId="0512E318" w:rsidR="0002602B" w:rsidRPr="006B3FD0" w:rsidRDefault="00136683" w:rsidP="00B62D46">
            <w:pPr>
              <w:rPr>
                <w:rFonts w:cs="Arial"/>
                <w:bCs/>
                <w:color w:val="000000" w:themeColor="text1"/>
              </w:rPr>
            </w:pPr>
            <w:r w:rsidRPr="00136683">
              <w:rPr>
                <w:rFonts w:cs="Arial"/>
                <w:bCs/>
                <w:color w:val="EE0000"/>
                <w:sz w:val="22"/>
                <w:szCs w:val="22"/>
              </w:rPr>
              <w:t>X</w:t>
            </w:r>
          </w:p>
        </w:tc>
      </w:tr>
      <w:tr w:rsidR="0089751D" w:rsidRPr="006B3FD0" w14:paraId="19E46B16" w14:textId="77777777" w:rsidTr="008A2814">
        <w:tc>
          <w:tcPr>
            <w:tcW w:w="3114" w:type="dxa"/>
          </w:tcPr>
          <w:p w14:paraId="6A55BAFE" w14:textId="072577C8" w:rsidR="008A2814" w:rsidRPr="00136683" w:rsidRDefault="008A2814" w:rsidP="00B62D46">
            <w:pPr>
              <w:rPr>
                <w:rFonts w:cs="Arial"/>
                <w:bCs/>
                <w:color w:val="000000" w:themeColor="text1"/>
              </w:rPr>
            </w:pPr>
            <w:r w:rsidRPr="00136683">
              <w:rPr>
                <w:rFonts w:cs="Arial"/>
                <w:bCs/>
                <w:color w:val="000000" w:themeColor="text1"/>
              </w:rPr>
              <w:t>E - Unsuitable</w:t>
            </w:r>
          </w:p>
        </w:tc>
        <w:tc>
          <w:tcPr>
            <w:tcW w:w="2268" w:type="dxa"/>
          </w:tcPr>
          <w:p w14:paraId="75F3828E" w14:textId="409ED567" w:rsidR="008A2814" w:rsidRPr="006B3FD0" w:rsidRDefault="00136683" w:rsidP="00B62D46">
            <w:pPr>
              <w:rPr>
                <w:rFonts w:cs="Arial"/>
                <w:bCs/>
                <w:color w:val="000000" w:themeColor="text1"/>
              </w:rPr>
            </w:pPr>
            <w:r w:rsidRPr="00136683">
              <w:rPr>
                <w:rFonts w:cs="Arial"/>
                <w:bCs/>
                <w:color w:val="EE0000"/>
                <w:sz w:val="22"/>
                <w:szCs w:val="22"/>
              </w:rPr>
              <w:t>X</w:t>
            </w:r>
          </w:p>
        </w:tc>
      </w:tr>
    </w:tbl>
    <w:p w14:paraId="3FFD01F8" w14:textId="77777777" w:rsidR="005005E6" w:rsidRPr="006B3FD0" w:rsidRDefault="005005E6" w:rsidP="00B62D46">
      <w:pPr>
        <w:rPr>
          <w:rFonts w:cs="Arial"/>
          <w:bCs/>
          <w:color w:val="000000" w:themeColor="text1"/>
        </w:rPr>
      </w:pPr>
    </w:p>
    <w:p w14:paraId="2BEEE801" w14:textId="7E7A4F8E" w:rsidR="005005E6" w:rsidRDefault="008A2814" w:rsidP="00B62D46">
      <w:pPr>
        <w:rPr>
          <w:rFonts w:cs="Arial"/>
          <w:bCs/>
          <w:color w:val="000000" w:themeColor="text1"/>
        </w:rPr>
      </w:pPr>
      <w:r w:rsidRPr="00136683">
        <w:rPr>
          <w:rFonts w:cs="Arial"/>
          <w:bCs/>
          <w:color w:val="000000" w:themeColor="text1"/>
        </w:rPr>
        <w:t xml:space="preserve">What this spread of advice file review grades </w:t>
      </w:r>
      <w:r w:rsidR="009C33FA" w:rsidRPr="00136683">
        <w:rPr>
          <w:rFonts w:cs="Arial"/>
          <w:bCs/>
          <w:color w:val="000000" w:themeColor="text1"/>
        </w:rPr>
        <w:t>tells</w:t>
      </w:r>
      <w:r w:rsidRPr="00136683">
        <w:rPr>
          <w:rFonts w:cs="Arial"/>
          <w:bCs/>
          <w:color w:val="000000" w:themeColor="text1"/>
        </w:rPr>
        <w:t xml:space="preserve"> us is </w:t>
      </w:r>
      <w:r w:rsidRPr="00136683">
        <w:rPr>
          <w:rFonts w:cs="Arial"/>
          <w:bCs/>
          <w:color w:val="EE0000"/>
        </w:rPr>
        <w:t>XYZ</w:t>
      </w:r>
      <w:r w:rsidRPr="00136683">
        <w:rPr>
          <w:rFonts w:cs="Arial"/>
          <w:bCs/>
          <w:color w:val="000000" w:themeColor="text1"/>
        </w:rPr>
        <w:t>. On balance, we are satisfied that the</w:t>
      </w:r>
      <w:r w:rsidR="009C33FA" w:rsidRPr="00136683">
        <w:rPr>
          <w:rFonts w:cs="Arial"/>
          <w:bCs/>
          <w:color w:val="000000" w:themeColor="text1"/>
        </w:rPr>
        <w:t xml:space="preserve"> above results as the </w:t>
      </w:r>
      <w:r w:rsidR="00136683">
        <w:rPr>
          <w:rFonts w:cs="Arial"/>
          <w:bCs/>
          <w:color w:val="000000" w:themeColor="text1"/>
        </w:rPr>
        <w:t>percentages</w:t>
      </w:r>
      <w:r w:rsidR="009C33FA" w:rsidRPr="00136683">
        <w:rPr>
          <w:rFonts w:cs="Arial"/>
          <w:bCs/>
          <w:color w:val="000000" w:themeColor="text1"/>
        </w:rPr>
        <w:t xml:space="preserve"> of </w:t>
      </w:r>
      <w:r w:rsidR="005E6B9E" w:rsidRPr="00136683">
        <w:rPr>
          <w:rFonts w:cs="Arial"/>
          <w:bCs/>
          <w:color w:val="000000" w:themeColor="text1"/>
        </w:rPr>
        <w:t xml:space="preserve">Suitable/Unclear/Unsuitable  </w:t>
      </w:r>
      <w:r w:rsidR="009C33FA" w:rsidRPr="00136683">
        <w:rPr>
          <w:rFonts w:cs="Arial"/>
          <w:bCs/>
          <w:color w:val="000000" w:themeColor="text1"/>
        </w:rPr>
        <w:t>are in line with our adviser KPIs as outlined in our T&amp;C Scheme</w:t>
      </w:r>
      <w:r w:rsidR="005E6B9E" w:rsidRPr="00136683">
        <w:rPr>
          <w:rFonts w:cs="Arial"/>
          <w:bCs/>
          <w:color w:val="000000" w:themeColor="text1"/>
        </w:rPr>
        <w:t xml:space="preserve"> and provide confirmation that clients are being recommended the correct product to meet their needs</w:t>
      </w:r>
      <w:r w:rsidR="009C33FA" w:rsidRPr="00136683">
        <w:rPr>
          <w:rFonts w:cs="Arial"/>
          <w:bCs/>
          <w:color w:val="000000" w:themeColor="text1"/>
        </w:rPr>
        <w:t>.</w:t>
      </w:r>
    </w:p>
    <w:p w14:paraId="4A12B0F4" w14:textId="77777777" w:rsidR="000C4D5A" w:rsidRPr="000C4D5A" w:rsidRDefault="000C4D5A" w:rsidP="000C4D5A">
      <w:pPr>
        <w:rPr>
          <w:rFonts w:cs="Arial"/>
          <w:b/>
          <w:bCs/>
          <w:color w:val="000000" w:themeColor="text1"/>
        </w:rPr>
      </w:pPr>
      <w:r w:rsidRPr="000C4D5A">
        <w:rPr>
          <w:rFonts w:cs="Arial"/>
          <w:b/>
          <w:bCs/>
          <w:color w:val="000000" w:themeColor="text1"/>
        </w:rPr>
        <w:t>Board conclusion – Products and Services</w:t>
      </w:r>
    </w:p>
    <w:p w14:paraId="56EC0F3A" w14:textId="69D0EFBA" w:rsidR="00011EB6" w:rsidRDefault="000C4D5A" w:rsidP="00B62D46">
      <w:pPr>
        <w:rPr>
          <w:rFonts w:cs="Arial"/>
          <w:color w:val="000000" w:themeColor="text1"/>
        </w:rPr>
      </w:pPr>
      <w:r w:rsidRPr="000C4D5A">
        <w:rPr>
          <w:rFonts w:cs="Arial"/>
          <w:color w:val="000000" w:themeColor="text1"/>
        </w:rPr>
        <w:t>Based on the service proposition review, annual review MI, target market assessment, investment governance and advice file checking undertaken during the period, the Board is satisfied that the firm’s products and services continue to be designed, distributed and delivered in a way that meets the needs, characteristics and objectives of clients in the identified target markets, and that no evidence of systemic poor outcomes has been identified.</w:t>
      </w:r>
    </w:p>
    <w:p w14:paraId="485B0953" w14:textId="77777777" w:rsidR="00242E7E" w:rsidRPr="000C4D5A" w:rsidRDefault="00242E7E" w:rsidP="00B62D46">
      <w:pPr>
        <w:rPr>
          <w:rFonts w:cs="Arial"/>
          <w:color w:val="000000" w:themeColor="text1"/>
        </w:rPr>
      </w:pPr>
    </w:p>
    <w:p w14:paraId="179F46FB" w14:textId="77777777" w:rsidR="00B62D46" w:rsidRPr="006B3FD0" w:rsidRDefault="00B62D46" w:rsidP="00B62D46">
      <w:pPr>
        <w:rPr>
          <w:rFonts w:cs="Arial"/>
          <w:b/>
          <w:bCs/>
          <w:color w:val="000000" w:themeColor="text1"/>
          <w:lang w:val="en-US"/>
        </w:rPr>
      </w:pPr>
      <w:r w:rsidRPr="006B3FD0">
        <w:rPr>
          <w:rFonts w:cs="Arial"/>
          <w:b/>
          <w:bCs/>
          <w:color w:val="000000" w:themeColor="text1"/>
          <w:lang w:val="en-US"/>
        </w:rPr>
        <w:lastRenderedPageBreak/>
        <w:t>Further Actions Required</w:t>
      </w:r>
    </w:p>
    <w:tbl>
      <w:tblPr>
        <w:tblStyle w:val="TableGrid"/>
        <w:tblW w:w="9064" w:type="dxa"/>
        <w:tblLook w:val="04A0" w:firstRow="1" w:lastRow="0" w:firstColumn="1" w:lastColumn="0" w:noHBand="0" w:noVBand="1"/>
      </w:tblPr>
      <w:tblGrid>
        <w:gridCol w:w="4390"/>
        <w:gridCol w:w="1668"/>
        <w:gridCol w:w="3006"/>
      </w:tblGrid>
      <w:tr w:rsidR="0089751D" w:rsidRPr="006B3FD0" w14:paraId="76AB7A5F" w14:textId="77777777" w:rsidTr="00F36AD2">
        <w:tc>
          <w:tcPr>
            <w:tcW w:w="4390" w:type="dxa"/>
            <w:shd w:val="clear" w:color="auto" w:fill="E7E6E6" w:themeFill="background2"/>
          </w:tcPr>
          <w:p w14:paraId="658FB2E5" w14:textId="779976E0" w:rsidR="00621A1E" w:rsidRPr="006B3FD0" w:rsidRDefault="00621A1E" w:rsidP="00B62D46">
            <w:pPr>
              <w:spacing w:after="160" w:line="259" w:lineRule="auto"/>
              <w:rPr>
                <w:rFonts w:cs="Arial"/>
                <w:color w:val="000000" w:themeColor="text1"/>
                <w:sz w:val="22"/>
                <w:szCs w:val="22"/>
                <w:lang w:eastAsia="en-US" w:bidi="en-US"/>
              </w:rPr>
            </w:pPr>
            <w:r w:rsidRPr="006B3FD0">
              <w:rPr>
                <w:rFonts w:cs="Arial"/>
                <w:color w:val="000000" w:themeColor="text1"/>
                <w:sz w:val="22"/>
                <w:szCs w:val="22"/>
                <w:lang w:eastAsia="en-US" w:bidi="en-US"/>
              </w:rPr>
              <w:t>Action Identified</w:t>
            </w:r>
          </w:p>
        </w:tc>
        <w:tc>
          <w:tcPr>
            <w:tcW w:w="1668" w:type="dxa"/>
            <w:shd w:val="clear" w:color="auto" w:fill="E7E6E6" w:themeFill="background2"/>
          </w:tcPr>
          <w:p w14:paraId="54CEF5C6" w14:textId="5F681875" w:rsidR="00621A1E" w:rsidRPr="006B3FD0" w:rsidRDefault="00F36AD2" w:rsidP="00B62D46">
            <w:pPr>
              <w:spacing w:after="160" w:line="259" w:lineRule="auto"/>
              <w:rPr>
                <w:rFonts w:cs="Arial"/>
                <w:color w:val="000000" w:themeColor="text1"/>
                <w:sz w:val="22"/>
                <w:szCs w:val="22"/>
                <w:lang w:eastAsia="en-US" w:bidi="en-US"/>
              </w:rPr>
            </w:pPr>
            <w:r w:rsidRPr="006B3FD0">
              <w:rPr>
                <w:rFonts w:cs="Arial"/>
                <w:color w:val="000000" w:themeColor="text1"/>
                <w:sz w:val="22"/>
                <w:szCs w:val="22"/>
                <w:lang w:eastAsia="en-US" w:bidi="en-US"/>
              </w:rPr>
              <w:t>Action Owner</w:t>
            </w:r>
          </w:p>
        </w:tc>
        <w:tc>
          <w:tcPr>
            <w:tcW w:w="3006" w:type="dxa"/>
            <w:shd w:val="clear" w:color="auto" w:fill="E7E6E6" w:themeFill="background2"/>
          </w:tcPr>
          <w:p w14:paraId="22B78D11" w14:textId="12B1C1DE" w:rsidR="00621A1E" w:rsidRPr="006B3FD0" w:rsidRDefault="00F36AD2" w:rsidP="00B62D46">
            <w:pPr>
              <w:spacing w:after="160" w:line="259" w:lineRule="auto"/>
              <w:rPr>
                <w:rFonts w:cs="Arial"/>
                <w:color w:val="000000" w:themeColor="text1"/>
                <w:sz w:val="22"/>
                <w:szCs w:val="22"/>
                <w:lang w:eastAsia="en-US" w:bidi="en-US"/>
              </w:rPr>
            </w:pPr>
            <w:r w:rsidRPr="006B3FD0">
              <w:rPr>
                <w:rFonts w:cs="Arial"/>
                <w:color w:val="000000" w:themeColor="text1"/>
                <w:sz w:val="22"/>
                <w:szCs w:val="22"/>
                <w:lang w:eastAsia="en-US" w:bidi="en-US"/>
              </w:rPr>
              <w:t>Timeframe for completion</w:t>
            </w:r>
          </w:p>
        </w:tc>
      </w:tr>
      <w:tr w:rsidR="0089751D" w:rsidRPr="006B3FD0" w14:paraId="6158BACB" w14:textId="77777777" w:rsidTr="00F36AD2">
        <w:tc>
          <w:tcPr>
            <w:tcW w:w="4390" w:type="dxa"/>
          </w:tcPr>
          <w:p w14:paraId="73B60ED9" w14:textId="77777777" w:rsidR="00F36AD2" w:rsidRPr="006B3FD0" w:rsidRDefault="00F36AD2" w:rsidP="00B62D46">
            <w:pPr>
              <w:spacing w:after="160" w:line="259" w:lineRule="auto"/>
              <w:rPr>
                <w:rFonts w:cs="Arial"/>
                <w:color w:val="000000" w:themeColor="text1"/>
                <w:szCs w:val="22"/>
                <w:lang w:bidi="en-US"/>
              </w:rPr>
            </w:pPr>
          </w:p>
        </w:tc>
        <w:tc>
          <w:tcPr>
            <w:tcW w:w="1668" w:type="dxa"/>
          </w:tcPr>
          <w:p w14:paraId="2A649FC2" w14:textId="77777777" w:rsidR="00F36AD2" w:rsidRPr="006B3FD0" w:rsidRDefault="00F36AD2" w:rsidP="00B62D46">
            <w:pPr>
              <w:spacing w:after="160" w:line="259" w:lineRule="auto"/>
              <w:rPr>
                <w:rFonts w:cs="Arial"/>
                <w:color w:val="000000" w:themeColor="text1"/>
                <w:szCs w:val="22"/>
                <w:lang w:bidi="en-US"/>
              </w:rPr>
            </w:pPr>
          </w:p>
        </w:tc>
        <w:tc>
          <w:tcPr>
            <w:tcW w:w="3006" w:type="dxa"/>
          </w:tcPr>
          <w:p w14:paraId="715191F1" w14:textId="77777777" w:rsidR="00F36AD2" w:rsidRPr="006B3FD0" w:rsidRDefault="00F36AD2" w:rsidP="00B62D46">
            <w:pPr>
              <w:spacing w:after="160" w:line="259" w:lineRule="auto"/>
              <w:rPr>
                <w:rFonts w:cs="Arial"/>
                <w:color w:val="000000" w:themeColor="text1"/>
                <w:szCs w:val="22"/>
                <w:lang w:bidi="en-US"/>
              </w:rPr>
            </w:pPr>
          </w:p>
        </w:tc>
      </w:tr>
    </w:tbl>
    <w:p w14:paraId="63FD0EBD" w14:textId="77777777" w:rsidR="0092227D" w:rsidRDefault="0092227D" w:rsidP="0092227D">
      <w:pPr>
        <w:spacing w:after="160" w:line="259" w:lineRule="auto"/>
      </w:pPr>
    </w:p>
    <w:p w14:paraId="34BE6084" w14:textId="18432C09" w:rsidR="00B62D46" w:rsidRPr="006B3FD0" w:rsidRDefault="00B62D46" w:rsidP="0092227D">
      <w:pPr>
        <w:pStyle w:val="Heading1"/>
        <w:rPr>
          <w:rFonts w:ascii="Arial" w:hAnsi="Arial"/>
        </w:rPr>
      </w:pPr>
      <w:r w:rsidRPr="006B3FD0">
        <w:rPr>
          <w:rFonts w:ascii="Arial" w:hAnsi="Arial"/>
        </w:rPr>
        <w:t>The Price and Value Outcome</w:t>
      </w:r>
    </w:p>
    <w:p w14:paraId="3F5205AF" w14:textId="77777777" w:rsidR="004343AF" w:rsidRPr="004343AF" w:rsidRDefault="004343AF" w:rsidP="004343AF">
      <w:pPr>
        <w:rPr>
          <w:rFonts w:cs="Arial"/>
          <w:color w:val="000000" w:themeColor="text1"/>
          <w:lang w:val="en-US"/>
        </w:rPr>
      </w:pPr>
      <w:r w:rsidRPr="004343AF">
        <w:rPr>
          <w:rFonts w:cs="Arial"/>
          <w:color w:val="000000" w:themeColor="text1"/>
          <w:lang w:val="en-US"/>
        </w:rPr>
        <w:t>Under the Consumer Duty, the Board is required to assess whether customers receive fair value, taking into account the nature and quality of the services provided, any limitations within those services, and the total price paid by customers across the lifetime of their relationship with the firm.</w:t>
      </w:r>
    </w:p>
    <w:p w14:paraId="48B0F340" w14:textId="77777777" w:rsidR="004343AF" w:rsidRPr="004343AF" w:rsidRDefault="004343AF" w:rsidP="004343AF">
      <w:pPr>
        <w:rPr>
          <w:rFonts w:cs="Arial"/>
          <w:color w:val="000000" w:themeColor="text1"/>
          <w:lang w:val="en-US"/>
        </w:rPr>
      </w:pPr>
      <w:r w:rsidRPr="004343AF">
        <w:rPr>
          <w:rFonts w:cs="Arial"/>
          <w:color w:val="000000" w:themeColor="text1"/>
          <w:lang w:val="en-US"/>
        </w:rPr>
        <w:t>In assessing the Price and Value outcome, the Board has considered quantitative and qualitative management information covering service delivery, client engagement, cost of delivery, client feedback and the firm’s charging structure. This assessment has focused on whether the fees paid by clients remain reasonable in relation to the benefits received, and whether any aspects of the firm’s pricing could result in foreseeable harm.</w:t>
      </w:r>
    </w:p>
    <w:p w14:paraId="4770AE93" w14:textId="5CA0CCE3" w:rsidR="004343AF" w:rsidRPr="00BB6539" w:rsidRDefault="004343AF" w:rsidP="004343AF">
      <w:pPr>
        <w:rPr>
          <w:rFonts w:cs="Arial"/>
          <w:color w:val="000000" w:themeColor="text1"/>
          <w:lang w:val="en-US"/>
        </w:rPr>
      </w:pPr>
      <w:r w:rsidRPr="004343AF">
        <w:rPr>
          <w:rFonts w:cs="Arial"/>
          <w:color w:val="000000" w:themeColor="text1"/>
          <w:lang w:val="en-US"/>
        </w:rPr>
        <w:t xml:space="preserve">The analysis set out below </w:t>
      </w:r>
      <w:proofErr w:type="spellStart"/>
      <w:r w:rsidRPr="004343AF">
        <w:rPr>
          <w:rFonts w:cs="Arial"/>
          <w:color w:val="000000" w:themeColor="text1"/>
          <w:lang w:val="en-US"/>
        </w:rPr>
        <w:t>summarises</w:t>
      </w:r>
      <w:proofErr w:type="spellEnd"/>
      <w:r w:rsidRPr="004343AF">
        <w:rPr>
          <w:rFonts w:cs="Arial"/>
          <w:color w:val="000000" w:themeColor="text1"/>
          <w:lang w:val="en-US"/>
        </w:rPr>
        <w:t xml:space="preserve"> the work undertaken during the period 1 August 2025 to 31 July 2026 and the Board’s conclusions on whether the firm’s products and services continue to represent fair value for clients within the identified target markets.</w:t>
      </w:r>
    </w:p>
    <w:p w14:paraId="71CE951B" w14:textId="77777777" w:rsidR="00B62D46" w:rsidRPr="006B3FD0" w:rsidRDefault="00B62D46" w:rsidP="00B62D46">
      <w:pPr>
        <w:rPr>
          <w:rFonts w:cs="Arial"/>
          <w:b/>
          <w:bCs/>
          <w:color w:val="000000" w:themeColor="text1"/>
          <w:lang w:val="en-US"/>
        </w:rPr>
      </w:pPr>
      <w:r w:rsidRPr="006B3FD0">
        <w:rPr>
          <w:rFonts w:cs="Arial"/>
          <w:b/>
          <w:bCs/>
          <w:color w:val="000000" w:themeColor="text1"/>
          <w:lang w:val="en-US"/>
        </w:rPr>
        <w:t>Action Taken / Firm Approach</w:t>
      </w:r>
    </w:p>
    <w:p w14:paraId="1D3B15EF" w14:textId="77777777" w:rsidR="00B62D46" w:rsidRPr="006B3FD0" w:rsidRDefault="00B62D46" w:rsidP="00B62D46">
      <w:pPr>
        <w:rPr>
          <w:rFonts w:cs="Arial"/>
          <w:b/>
          <w:bCs/>
          <w:color w:val="000000" w:themeColor="text1"/>
          <w:lang w:val="en-US"/>
        </w:rPr>
      </w:pPr>
      <w:r w:rsidRPr="006B3FD0">
        <w:rPr>
          <w:rFonts w:cs="Arial"/>
          <w:b/>
          <w:bCs/>
          <w:color w:val="000000" w:themeColor="text1"/>
          <w:lang w:val="en-US"/>
        </w:rPr>
        <w:t>Comments</w:t>
      </w:r>
    </w:p>
    <w:p w14:paraId="1FE87F2E" w14:textId="77777777" w:rsidR="009147B8" w:rsidRPr="006B3FD0" w:rsidRDefault="009147B8" w:rsidP="009147B8">
      <w:pPr>
        <w:rPr>
          <w:rFonts w:cs="Arial"/>
          <w:color w:val="000000" w:themeColor="text1"/>
          <w:u w:val="single"/>
          <w:lang w:val="en-US"/>
        </w:rPr>
      </w:pPr>
      <w:r w:rsidRPr="006B3FD0">
        <w:rPr>
          <w:rFonts w:cs="Arial"/>
          <w:color w:val="000000" w:themeColor="text1"/>
          <w:u w:val="single"/>
          <w:lang w:val="en-US"/>
        </w:rPr>
        <w:t>Transactional clients</w:t>
      </w:r>
    </w:p>
    <w:p w14:paraId="22B50A91" w14:textId="161627F8" w:rsidR="00F70B8D" w:rsidRPr="006B3FD0" w:rsidRDefault="009147B8" w:rsidP="009147B8">
      <w:pPr>
        <w:rPr>
          <w:rFonts w:cs="Arial"/>
          <w:color w:val="000000" w:themeColor="text1"/>
          <w:highlight w:val="yellow"/>
          <w:lang w:val="en-US"/>
        </w:rPr>
      </w:pPr>
      <w:r w:rsidRPr="006B3FD0">
        <w:rPr>
          <w:rFonts w:cs="Arial"/>
          <w:color w:val="000000" w:themeColor="text1"/>
          <w:highlight w:val="yellow"/>
          <w:lang w:val="en-US"/>
        </w:rPr>
        <w:t xml:space="preserve">Alongside our </w:t>
      </w:r>
      <w:r w:rsidR="008C21AA" w:rsidRPr="006B3FD0">
        <w:rPr>
          <w:rFonts w:cs="Arial"/>
          <w:color w:val="000000" w:themeColor="text1"/>
          <w:highlight w:val="yellow"/>
          <w:lang w:val="en-US"/>
        </w:rPr>
        <w:t>‘</w:t>
      </w:r>
      <w:r w:rsidRPr="006B3FD0">
        <w:rPr>
          <w:rFonts w:cs="Arial"/>
          <w:color w:val="000000" w:themeColor="text1"/>
          <w:highlight w:val="yellow"/>
          <w:lang w:val="en-US"/>
        </w:rPr>
        <w:t>core</w:t>
      </w:r>
      <w:r w:rsidR="008C21AA" w:rsidRPr="006B3FD0">
        <w:rPr>
          <w:rFonts w:cs="Arial"/>
          <w:color w:val="000000" w:themeColor="text1"/>
          <w:highlight w:val="yellow"/>
          <w:lang w:val="en-US"/>
        </w:rPr>
        <w:t>’</w:t>
      </w:r>
      <w:r w:rsidRPr="006B3FD0">
        <w:rPr>
          <w:rFonts w:cs="Arial"/>
          <w:color w:val="000000" w:themeColor="text1"/>
          <w:highlight w:val="yellow"/>
          <w:lang w:val="en-US"/>
        </w:rPr>
        <w:t xml:space="preserve"> </w:t>
      </w:r>
      <w:r w:rsidR="002D4BAC" w:rsidRPr="006B3FD0">
        <w:rPr>
          <w:rFonts w:cs="Arial"/>
          <w:color w:val="000000" w:themeColor="text1"/>
          <w:highlight w:val="yellow"/>
          <w:lang w:val="en-US"/>
        </w:rPr>
        <w:t>service</w:t>
      </w:r>
      <w:r w:rsidRPr="006B3FD0">
        <w:rPr>
          <w:rFonts w:cs="Arial"/>
          <w:color w:val="000000" w:themeColor="text1"/>
          <w:highlight w:val="yellow"/>
          <w:lang w:val="en-US"/>
        </w:rPr>
        <w:t xml:space="preserve"> propositions review discussed in the Products and Services section, we also ensured that consideration was given to whether clients within these propositions may benefit more from a transactional service. </w:t>
      </w:r>
      <w:r w:rsidR="00F70B8D" w:rsidRPr="006B3FD0">
        <w:rPr>
          <w:rFonts w:cs="Arial"/>
          <w:color w:val="000000" w:themeColor="text1"/>
          <w:highlight w:val="yellow"/>
          <w:lang w:val="en-US"/>
        </w:rPr>
        <w:t>The reason this project was undertaken</w:t>
      </w:r>
      <w:r w:rsidR="002F2841" w:rsidRPr="006B3FD0">
        <w:rPr>
          <w:rFonts w:cs="Arial"/>
          <w:color w:val="000000" w:themeColor="text1"/>
          <w:highlight w:val="yellow"/>
          <w:lang w:val="en-US"/>
        </w:rPr>
        <w:t xml:space="preserve"> was to ensure that clients were receiving fair value for the service they were </w:t>
      </w:r>
      <w:r w:rsidR="008C21AA" w:rsidRPr="006B3FD0">
        <w:rPr>
          <w:rFonts w:cs="Arial"/>
          <w:color w:val="000000" w:themeColor="text1"/>
          <w:highlight w:val="yellow"/>
          <w:lang w:val="en-US"/>
        </w:rPr>
        <w:t>paying</w:t>
      </w:r>
      <w:r w:rsidR="00471F38" w:rsidRPr="006B3FD0">
        <w:rPr>
          <w:rFonts w:cs="Arial"/>
          <w:color w:val="000000" w:themeColor="text1"/>
          <w:highlight w:val="yellow"/>
          <w:lang w:val="en-US"/>
        </w:rPr>
        <w:t xml:space="preserve"> for</w:t>
      </w:r>
      <w:r w:rsidR="002F2841" w:rsidRPr="006B3FD0">
        <w:rPr>
          <w:rFonts w:cs="Arial"/>
          <w:color w:val="000000" w:themeColor="text1"/>
          <w:highlight w:val="yellow"/>
          <w:lang w:val="en-US"/>
        </w:rPr>
        <w:t xml:space="preserve">. </w:t>
      </w:r>
      <w:r w:rsidR="00871AE4" w:rsidRPr="006B3FD0">
        <w:rPr>
          <w:rFonts w:cs="Arial"/>
          <w:color w:val="000000" w:themeColor="text1"/>
          <w:highlight w:val="yellow"/>
          <w:lang w:val="en-US"/>
        </w:rPr>
        <w:t xml:space="preserve">If we could see a pattern of clients not engaging </w:t>
      </w:r>
      <w:r w:rsidR="008C6D1D" w:rsidRPr="006B3FD0">
        <w:rPr>
          <w:rFonts w:cs="Arial"/>
          <w:color w:val="000000" w:themeColor="text1"/>
          <w:highlight w:val="yellow"/>
          <w:lang w:val="en-US"/>
        </w:rPr>
        <w:t>in the service when contacted, this could indicate that they were either</w:t>
      </w:r>
      <w:r w:rsidR="00D0722A" w:rsidRPr="006B3FD0">
        <w:rPr>
          <w:rFonts w:cs="Arial"/>
          <w:color w:val="000000" w:themeColor="text1"/>
          <w:highlight w:val="yellow"/>
          <w:lang w:val="en-US"/>
        </w:rPr>
        <w:t xml:space="preserve"> </w:t>
      </w:r>
      <w:r w:rsidR="0022329F" w:rsidRPr="006B3FD0">
        <w:rPr>
          <w:rFonts w:cs="Arial"/>
          <w:color w:val="000000" w:themeColor="text1"/>
          <w:highlight w:val="yellow"/>
          <w:lang w:val="en-US"/>
        </w:rPr>
        <w:t xml:space="preserve">in the </w:t>
      </w:r>
      <w:r w:rsidR="00D0722A" w:rsidRPr="006B3FD0">
        <w:rPr>
          <w:rFonts w:cs="Arial"/>
          <w:color w:val="000000" w:themeColor="text1"/>
          <w:highlight w:val="yellow"/>
          <w:lang w:val="en-US"/>
        </w:rPr>
        <w:t xml:space="preserve">incorrect service </w:t>
      </w:r>
      <w:r w:rsidR="0040050A" w:rsidRPr="006B3FD0">
        <w:rPr>
          <w:rFonts w:cs="Arial"/>
          <w:color w:val="000000" w:themeColor="text1"/>
          <w:highlight w:val="yellow"/>
          <w:lang w:val="en-US"/>
        </w:rPr>
        <w:t>proposition or</w:t>
      </w:r>
      <w:r w:rsidR="00D0722A" w:rsidRPr="006B3FD0">
        <w:rPr>
          <w:rFonts w:cs="Arial"/>
          <w:color w:val="000000" w:themeColor="text1"/>
          <w:highlight w:val="yellow"/>
          <w:lang w:val="en-US"/>
        </w:rPr>
        <w:t xml:space="preserve"> just needed to be re-e</w:t>
      </w:r>
      <w:r w:rsidR="0040050A" w:rsidRPr="006B3FD0">
        <w:rPr>
          <w:rFonts w:cs="Arial"/>
          <w:color w:val="000000" w:themeColor="text1"/>
          <w:highlight w:val="yellow"/>
          <w:lang w:val="en-US"/>
        </w:rPr>
        <w:t>ducated</w:t>
      </w:r>
      <w:r w:rsidR="00D0722A" w:rsidRPr="006B3FD0">
        <w:rPr>
          <w:rFonts w:cs="Arial"/>
          <w:color w:val="000000" w:themeColor="text1"/>
          <w:highlight w:val="yellow"/>
          <w:lang w:val="en-US"/>
        </w:rPr>
        <w:t xml:space="preserve"> as to why they are </w:t>
      </w:r>
      <w:r w:rsidR="0040050A" w:rsidRPr="006B3FD0">
        <w:rPr>
          <w:rFonts w:cs="Arial"/>
          <w:color w:val="000000" w:themeColor="text1"/>
          <w:highlight w:val="yellow"/>
          <w:lang w:val="en-US"/>
        </w:rPr>
        <w:t>paying</w:t>
      </w:r>
      <w:r w:rsidR="00D0722A" w:rsidRPr="006B3FD0">
        <w:rPr>
          <w:rFonts w:cs="Arial"/>
          <w:color w:val="000000" w:themeColor="text1"/>
          <w:highlight w:val="yellow"/>
          <w:lang w:val="en-US"/>
        </w:rPr>
        <w:t xml:space="preserve"> for an ongoing service in the first place.</w:t>
      </w:r>
    </w:p>
    <w:p w14:paraId="2E563138" w14:textId="313D8C73" w:rsidR="0040050A" w:rsidRPr="006B3FD0" w:rsidRDefault="00930D29" w:rsidP="0040050A">
      <w:pPr>
        <w:rPr>
          <w:rFonts w:cs="Arial"/>
          <w:color w:val="000000" w:themeColor="text1"/>
          <w:highlight w:val="yellow"/>
          <w:lang w:val="en-US"/>
        </w:rPr>
      </w:pPr>
      <w:r w:rsidRPr="006B3FD0">
        <w:rPr>
          <w:rFonts w:cs="Arial"/>
          <w:color w:val="000000" w:themeColor="text1"/>
          <w:highlight w:val="yellow"/>
          <w:lang w:val="en-US"/>
        </w:rPr>
        <w:t>During</w:t>
      </w:r>
      <w:r w:rsidR="0040050A" w:rsidRPr="006B3FD0">
        <w:rPr>
          <w:rFonts w:cs="Arial"/>
          <w:color w:val="000000" w:themeColor="text1"/>
          <w:highlight w:val="yellow"/>
          <w:lang w:val="en-US"/>
        </w:rPr>
        <w:t xml:space="preserve"> the review period, </w:t>
      </w:r>
      <w:r w:rsidR="0040050A" w:rsidRPr="00136683">
        <w:rPr>
          <w:rFonts w:cs="Arial"/>
          <w:color w:val="EE0000"/>
          <w:highlight w:val="yellow"/>
          <w:lang w:val="en-US"/>
        </w:rPr>
        <w:t>X</w:t>
      </w:r>
      <w:r w:rsidR="0040050A" w:rsidRPr="006B3FD0">
        <w:rPr>
          <w:rFonts w:cs="Arial"/>
          <w:color w:val="000000" w:themeColor="text1"/>
          <w:highlight w:val="yellow"/>
          <w:lang w:val="en-US"/>
        </w:rPr>
        <w:t xml:space="preserve"> clients were subsequently switched to our transactional service </w:t>
      </w:r>
      <w:r w:rsidR="0008395F" w:rsidRPr="006B3FD0">
        <w:rPr>
          <w:rFonts w:cs="Arial"/>
          <w:color w:val="000000" w:themeColor="text1"/>
          <w:highlight w:val="yellow"/>
          <w:lang w:val="en-US"/>
        </w:rPr>
        <w:t>as a result of this targeted project</w:t>
      </w:r>
      <w:r w:rsidR="0040050A" w:rsidRPr="006B3FD0">
        <w:rPr>
          <w:rFonts w:cs="Arial"/>
          <w:color w:val="000000" w:themeColor="text1"/>
          <w:highlight w:val="yellow"/>
          <w:lang w:val="en-US"/>
        </w:rPr>
        <w:t>. This was not done lightly however, and this was always discussed with the client before any action was taken. If a client preferred to receive an ongoing service after this discussion took place, this preference was taken into account.</w:t>
      </w:r>
    </w:p>
    <w:p w14:paraId="3BAEC327" w14:textId="77777777" w:rsidR="005E16BD" w:rsidRPr="005E16BD" w:rsidRDefault="005E16BD" w:rsidP="005E16BD">
      <w:pPr>
        <w:rPr>
          <w:rFonts w:cs="Arial"/>
          <w:color w:val="000000" w:themeColor="text1"/>
          <w:highlight w:val="yellow"/>
          <w:lang w:val="en-US"/>
        </w:rPr>
      </w:pPr>
      <w:r w:rsidRPr="005E16BD">
        <w:rPr>
          <w:rFonts w:cs="Arial"/>
          <w:color w:val="000000" w:themeColor="text1"/>
          <w:highlight w:val="yellow"/>
          <w:lang w:val="en-US"/>
        </w:rPr>
        <w:t>This work did not result in any complaints or negative feedback and, alongside confirmation of client consent and continued engagement with the agreed service, provides reasonable assurance that clients continue to receive fair value and appropriate outcomes.</w:t>
      </w:r>
    </w:p>
    <w:p w14:paraId="0C9FFCC8" w14:textId="77777777" w:rsidR="009147B8" w:rsidRPr="006B3FD0" w:rsidRDefault="009147B8" w:rsidP="009147B8">
      <w:pPr>
        <w:pStyle w:val="ListBullet"/>
        <w:rPr>
          <w:u w:val="single"/>
          <w:lang w:val="en-US"/>
        </w:rPr>
      </w:pPr>
      <w:r w:rsidRPr="006B3FD0">
        <w:rPr>
          <w:u w:val="single"/>
          <w:lang w:val="en-US"/>
        </w:rPr>
        <w:t>Fair value</w:t>
      </w:r>
    </w:p>
    <w:p w14:paraId="2F551992" w14:textId="77777777" w:rsidR="002D4BAC" w:rsidRDefault="009147B8" w:rsidP="009147B8">
      <w:pPr>
        <w:rPr>
          <w:rFonts w:cs="Arial"/>
          <w:lang w:val="en-US"/>
        </w:rPr>
      </w:pPr>
      <w:r w:rsidRPr="006B3FD0">
        <w:rPr>
          <w:rFonts w:cs="Arial"/>
          <w:lang w:val="en-US"/>
        </w:rPr>
        <w:t>The firm aims to offer products and services that are fit for purpose and represent fair value</w:t>
      </w:r>
      <w:r w:rsidR="002D4BAC" w:rsidRPr="006B3FD0">
        <w:rPr>
          <w:rFonts w:cs="Arial"/>
          <w:lang w:val="en-US"/>
        </w:rPr>
        <w:t>. Whilst</w:t>
      </w:r>
      <w:r w:rsidRPr="006B3FD0">
        <w:rPr>
          <w:rFonts w:cs="Arial"/>
          <w:lang w:val="en-US"/>
        </w:rPr>
        <w:t xml:space="preserve"> this approach has always been a fundamental part of the services offered by the firm, we regularly assess whether we can make further progress in this area. </w:t>
      </w:r>
    </w:p>
    <w:p w14:paraId="1772D558" w14:textId="22629E16" w:rsidR="00136683" w:rsidRDefault="00136683" w:rsidP="009147B8">
      <w:pPr>
        <w:rPr>
          <w:rFonts w:cs="Arial"/>
          <w:color w:val="6C60B6" w:themeColor="text2" w:themeTint="99"/>
          <w:lang w:val="en-US"/>
        </w:rPr>
      </w:pPr>
      <w:r w:rsidRPr="00136683">
        <w:rPr>
          <w:rFonts w:cs="Arial"/>
          <w:color w:val="6C60B6" w:themeColor="text2" w:themeTint="99"/>
          <w:lang w:val="en-US"/>
        </w:rPr>
        <w:lastRenderedPageBreak/>
        <w:t>Comment on fee trends here over previous years. For example,</w:t>
      </w:r>
    </w:p>
    <w:p w14:paraId="34D030E5" w14:textId="59BD0796" w:rsidR="009147B8" w:rsidRPr="006B3FD0" w:rsidRDefault="009147B8" w:rsidP="009147B8">
      <w:pPr>
        <w:rPr>
          <w:rFonts w:cs="Arial"/>
          <w:highlight w:val="yellow"/>
          <w:lang w:val="en-US"/>
        </w:rPr>
      </w:pPr>
      <w:r w:rsidRPr="006B3FD0">
        <w:rPr>
          <w:rFonts w:cs="Arial"/>
          <w:highlight w:val="yellow"/>
          <w:lang w:val="en-US"/>
        </w:rPr>
        <w:t>Our average initial fee has increased/decreased in 202</w:t>
      </w:r>
      <w:r w:rsidR="00054737">
        <w:rPr>
          <w:rFonts w:cs="Arial"/>
          <w:highlight w:val="yellow"/>
          <w:lang w:val="en-US"/>
        </w:rPr>
        <w:t>6</w:t>
      </w:r>
      <w:r w:rsidRPr="006B3FD0">
        <w:rPr>
          <w:rFonts w:cs="Arial"/>
          <w:highlight w:val="yellow"/>
          <w:lang w:val="en-US"/>
        </w:rPr>
        <w:t xml:space="preserve"> when compared to 202</w:t>
      </w:r>
      <w:r w:rsidR="00054737">
        <w:rPr>
          <w:rFonts w:cs="Arial"/>
          <w:highlight w:val="yellow"/>
          <w:lang w:val="en-US"/>
        </w:rPr>
        <w:t>5</w:t>
      </w:r>
      <w:r w:rsidR="00136683">
        <w:rPr>
          <w:rFonts w:cs="Arial"/>
          <w:highlight w:val="yellow"/>
          <w:lang w:val="en-US"/>
        </w:rPr>
        <w:t>.</w:t>
      </w:r>
    </w:p>
    <w:p w14:paraId="31F09470" w14:textId="7D1E6B0E" w:rsidR="009147B8" w:rsidRDefault="009147B8" w:rsidP="009147B8">
      <w:pPr>
        <w:rPr>
          <w:rFonts w:cs="Arial"/>
          <w:lang w:val="en-US"/>
        </w:rPr>
      </w:pPr>
      <w:r w:rsidRPr="006B3FD0">
        <w:rPr>
          <w:rFonts w:cs="Arial"/>
          <w:highlight w:val="yellow"/>
          <w:lang w:val="en-US"/>
        </w:rPr>
        <w:t>Our average ongoing fee has increased/decreased in 202</w:t>
      </w:r>
      <w:r w:rsidR="00054737">
        <w:rPr>
          <w:rFonts w:cs="Arial"/>
          <w:highlight w:val="yellow"/>
          <w:lang w:val="en-US"/>
        </w:rPr>
        <w:t>6</w:t>
      </w:r>
      <w:r w:rsidRPr="006B3FD0">
        <w:rPr>
          <w:rFonts w:cs="Arial"/>
          <w:highlight w:val="yellow"/>
          <w:lang w:val="en-US"/>
        </w:rPr>
        <w:t xml:space="preserve"> when compared to 202</w:t>
      </w:r>
      <w:r w:rsidR="00054737">
        <w:rPr>
          <w:rFonts w:cs="Arial"/>
          <w:highlight w:val="yellow"/>
          <w:lang w:val="en-US"/>
        </w:rPr>
        <w:t>5</w:t>
      </w:r>
      <w:r w:rsidR="00136683">
        <w:rPr>
          <w:rFonts w:cs="Arial"/>
          <w:lang w:val="en-US"/>
        </w:rPr>
        <w:t>.</w:t>
      </w:r>
    </w:p>
    <w:p w14:paraId="323A977D" w14:textId="1E8F9A3A" w:rsidR="00A174F5" w:rsidRPr="003A4D26" w:rsidRDefault="003A4D26" w:rsidP="009147B8">
      <w:pPr>
        <w:rPr>
          <w:rFonts w:cs="Arial"/>
          <w:lang w:val="en-US"/>
        </w:rPr>
      </w:pPr>
      <w:r w:rsidRPr="00136683">
        <w:rPr>
          <w:rFonts w:cs="Arial"/>
          <w:highlight w:val="yellow"/>
          <w:lang w:val="en-US"/>
        </w:rPr>
        <w:t xml:space="preserve">The observed changes in average fees during the period primarily reflect </w:t>
      </w:r>
      <w:r w:rsidRPr="00136683">
        <w:rPr>
          <w:rFonts w:cs="Arial"/>
          <w:color w:val="EE0000"/>
          <w:highlight w:val="yellow"/>
          <w:lang w:val="en-US"/>
        </w:rPr>
        <w:t>[increased complexity of advice / inflationary pressures / enhancements to the service offering]</w:t>
      </w:r>
      <w:r w:rsidRPr="00136683">
        <w:rPr>
          <w:rFonts w:cs="Arial"/>
          <w:highlight w:val="yellow"/>
          <w:lang w:val="en-US"/>
        </w:rPr>
        <w:t xml:space="preserve">. The Board is satisfied that these changes have resulted in improved client outcomes through </w:t>
      </w:r>
      <w:r w:rsidRPr="00136683">
        <w:rPr>
          <w:rFonts w:cs="Arial"/>
          <w:color w:val="EE0000"/>
          <w:highlight w:val="yellow"/>
          <w:lang w:val="en-US"/>
        </w:rPr>
        <w:t>[more frequent contact / deeper planning / enhanced ongoing support]</w:t>
      </w:r>
      <w:r w:rsidRPr="00136683">
        <w:rPr>
          <w:rFonts w:cs="Arial"/>
          <w:highlight w:val="yellow"/>
          <w:lang w:val="en-US"/>
        </w:rPr>
        <w:t>, rather than simply increased revenue.</w:t>
      </w:r>
    </w:p>
    <w:p w14:paraId="689FACFC" w14:textId="40CECF4B" w:rsidR="00A174F5" w:rsidRPr="002057F1" w:rsidRDefault="00A174F5" w:rsidP="009147B8">
      <w:pPr>
        <w:rPr>
          <w:rFonts w:cs="Arial"/>
          <w:color w:val="6C60B6" w:themeColor="text2" w:themeTint="99"/>
          <w:lang w:val="en-US"/>
        </w:rPr>
      </w:pPr>
      <w:r w:rsidRPr="002057F1">
        <w:rPr>
          <w:rFonts w:cs="Arial"/>
          <w:color w:val="6C60B6" w:themeColor="text2" w:themeTint="99"/>
          <w:lang w:val="en-US"/>
        </w:rPr>
        <w:t xml:space="preserve">Or </w:t>
      </w:r>
    </w:p>
    <w:p w14:paraId="12E04D7F" w14:textId="77777777" w:rsidR="002057F1" w:rsidRPr="002057F1" w:rsidRDefault="002057F1" w:rsidP="002057F1">
      <w:pPr>
        <w:rPr>
          <w:rFonts w:cs="Arial"/>
          <w:lang w:val="en-US"/>
        </w:rPr>
      </w:pPr>
      <w:r w:rsidRPr="006B3FD0">
        <w:rPr>
          <w:rFonts w:cs="Arial"/>
          <w:highlight w:val="yellow"/>
          <w:lang w:val="en-US"/>
        </w:rPr>
        <w:t xml:space="preserve">We </w:t>
      </w:r>
      <w:r>
        <w:rPr>
          <w:rFonts w:cs="Arial"/>
          <w:highlight w:val="yellow"/>
          <w:lang w:val="en-US"/>
        </w:rPr>
        <w:t>have</w:t>
      </w:r>
      <w:r w:rsidRPr="006B3FD0">
        <w:rPr>
          <w:rFonts w:cs="Arial"/>
          <w:highlight w:val="yellow"/>
          <w:lang w:val="en-US"/>
        </w:rPr>
        <w:t xml:space="preserve"> not revised the cost of our initial advice and/or ongoing service advice fees.</w:t>
      </w:r>
    </w:p>
    <w:p w14:paraId="18B1250B" w14:textId="2C040A96" w:rsidR="009147B8" w:rsidRPr="006B3FD0" w:rsidRDefault="00CE511B" w:rsidP="00082503">
      <w:pPr>
        <w:rPr>
          <w:rFonts w:cs="Arial"/>
          <w:lang w:val="en-US"/>
        </w:rPr>
      </w:pPr>
      <w:r w:rsidRPr="006B3FD0">
        <w:rPr>
          <w:rFonts w:cs="Arial"/>
          <w:highlight w:val="yellow"/>
          <w:lang w:val="en-US"/>
        </w:rPr>
        <w:t>We have considered our 202</w:t>
      </w:r>
      <w:r w:rsidR="00A174F5" w:rsidRPr="006B3FD0">
        <w:rPr>
          <w:rFonts w:cs="Arial"/>
          <w:highlight w:val="yellow"/>
          <w:lang w:val="en-US"/>
        </w:rPr>
        <w:t>X</w:t>
      </w:r>
      <w:r w:rsidRPr="006B3FD0">
        <w:rPr>
          <w:rFonts w:cs="Arial"/>
          <w:highlight w:val="yellow"/>
          <w:lang w:val="en-US"/>
        </w:rPr>
        <w:t xml:space="preserve"> Fair Value Assessment still up to date and valid</w:t>
      </w:r>
      <w:r w:rsidR="00A174F5" w:rsidRPr="006B3FD0">
        <w:rPr>
          <w:rFonts w:cs="Arial"/>
          <w:highlight w:val="yellow"/>
          <w:lang w:val="en-US"/>
        </w:rPr>
        <w:t xml:space="preserve"> and therefore we have not made any substantial changes to our current pricing structure.</w:t>
      </w:r>
    </w:p>
    <w:p w14:paraId="63B60666" w14:textId="77777777" w:rsidR="00BC3301" w:rsidRPr="00BC3301" w:rsidRDefault="00BC3301" w:rsidP="00BC3301">
      <w:pPr>
        <w:rPr>
          <w:rFonts w:cs="Arial"/>
          <w:lang w:val="en-US"/>
        </w:rPr>
      </w:pPr>
      <w:r w:rsidRPr="00BC3301">
        <w:rPr>
          <w:rFonts w:cs="Arial"/>
          <w:highlight w:val="yellow"/>
          <w:lang w:val="en-US"/>
        </w:rPr>
        <w:t>The Board has reviewed the firm’s most recent Fair Value Assessment and is satisfied that no changes to the firm’s pricing structure are required at this time.  This is because:</w:t>
      </w:r>
      <w:r w:rsidRPr="00BC3301">
        <w:rPr>
          <w:rFonts w:cs="Arial"/>
          <w:lang w:val="en-US"/>
        </w:rPr>
        <w:t xml:space="preserve"> </w:t>
      </w:r>
    </w:p>
    <w:p w14:paraId="3A6DFF38" w14:textId="0037D27F" w:rsidR="00082503" w:rsidRPr="006B3FD0" w:rsidRDefault="002F7B51" w:rsidP="002057F1">
      <w:pPr>
        <w:pStyle w:val="ListParagraph"/>
        <w:numPr>
          <w:ilvl w:val="0"/>
          <w:numId w:val="30"/>
        </w:numPr>
        <w:ind w:left="426"/>
        <w:rPr>
          <w:rFonts w:cs="Arial"/>
          <w:color w:val="000000" w:themeColor="text1"/>
          <w:szCs w:val="22"/>
          <w:highlight w:val="yellow"/>
          <w:lang w:eastAsia="en-GB"/>
        </w:rPr>
      </w:pPr>
      <w:r w:rsidRPr="006B3FD0">
        <w:rPr>
          <w:rFonts w:cs="Arial"/>
          <w:color w:val="000000" w:themeColor="text1"/>
          <w:szCs w:val="22"/>
          <w:highlight w:val="yellow"/>
          <w:lang w:eastAsia="en-GB"/>
        </w:rPr>
        <w:t xml:space="preserve">the nature of the product, including the benefits that </w:t>
      </w:r>
      <w:r w:rsidR="002743B6" w:rsidRPr="006B3FD0">
        <w:rPr>
          <w:rFonts w:cs="Arial"/>
          <w:color w:val="000000" w:themeColor="text1"/>
          <w:szCs w:val="22"/>
          <w:highlight w:val="yellow"/>
          <w:lang w:eastAsia="en-GB"/>
        </w:rPr>
        <w:t xml:space="preserve">are </w:t>
      </w:r>
      <w:r w:rsidRPr="006B3FD0">
        <w:rPr>
          <w:rFonts w:cs="Arial"/>
          <w:color w:val="000000" w:themeColor="text1"/>
          <w:szCs w:val="22"/>
          <w:highlight w:val="yellow"/>
          <w:lang w:eastAsia="en-GB"/>
        </w:rPr>
        <w:t xml:space="preserve">provided </w:t>
      </w:r>
      <w:r w:rsidR="002743B6" w:rsidRPr="006B3FD0">
        <w:rPr>
          <w:rFonts w:cs="Arial"/>
          <w:color w:val="000000" w:themeColor="text1"/>
          <w:szCs w:val="22"/>
          <w:highlight w:val="yellow"/>
          <w:lang w:eastAsia="en-GB"/>
        </w:rPr>
        <w:t xml:space="preserve">to clients </w:t>
      </w:r>
      <w:r w:rsidR="00C8579B" w:rsidRPr="006B3FD0">
        <w:rPr>
          <w:rFonts w:cs="Arial"/>
          <w:color w:val="000000" w:themeColor="text1"/>
          <w:szCs w:val="22"/>
          <w:highlight w:val="yellow"/>
          <w:lang w:eastAsia="en-GB"/>
        </w:rPr>
        <w:t xml:space="preserve">is </w:t>
      </w:r>
      <w:r w:rsidRPr="006B3FD0">
        <w:rPr>
          <w:rFonts w:cs="Arial"/>
          <w:color w:val="000000" w:themeColor="text1"/>
          <w:szCs w:val="22"/>
          <w:highlight w:val="yellow"/>
          <w:lang w:eastAsia="en-GB"/>
        </w:rPr>
        <w:t xml:space="preserve">reasonably </w:t>
      </w:r>
      <w:r w:rsidR="00C8579B" w:rsidRPr="006B3FD0">
        <w:rPr>
          <w:rFonts w:cs="Arial"/>
          <w:color w:val="000000" w:themeColor="text1"/>
          <w:szCs w:val="22"/>
          <w:highlight w:val="yellow"/>
          <w:lang w:eastAsia="en-GB"/>
        </w:rPr>
        <w:t xml:space="preserve">priced when </w:t>
      </w:r>
      <w:r w:rsidR="00E6796A" w:rsidRPr="006B3FD0">
        <w:rPr>
          <w:rFonts w:cs="Arial"/>
          <w:color w:val="000000" w:themeColor="text1"/>
          <w:szCs w:val="22"/>
          <w:highlight w:val="yellow"/>
          <w:lang w:eastAsia="en-GB"/>
        </w:rPr>
        <w:t>factoring</w:t>
      </w:r>
      <w:r w:rsidR="00C8579B" w:rsidRPr="006B3FD0">
        <w:rPr>
          <w:rFonts w:cs="Arial"/>
          <w:color w:val="000000" w:themeColor="text1"/>
          <w:szCs w:val="22"/>
          <w:highlight w:val="yellow"/>
          <w:lang w:eastAsia="en-GB"/>
        </w:rPr>
        <w:t xml:space="preserve"> in the quality of the </w:t>
      </w:r>
      <w:r w:rsidR="00E6796A" w:rsidRPr="006B3FD0">
        <w:rPr>
          <w:rFonts w:cs="Arial"/>
          <w:color w:val="000000" w:themeColor="text1"/>
          <w:szCs w:val="22"/>
          <w:highlight w:val="yellow"/>
          <w:lang w:eastAsia="en-GB"/>
        </w:rPr>
        <w:t>service.</w:t>
      </w:r>
    </w:p>
    <w:p w14:paraId="15453F3B" w14:textId="12A17DAE" w:rsidR="00A52327" w:rsidRPr="006B3FD0" w:rsidRDefault="004E56B6" w:rsidP="002057F1">
      <w:pPr>
        <w:pStyle w:val="ListParagraph"/>
        <w:numPr>
          <w:ilvl w:val="0"/>
          <w:numId w:val="30"/>
        </w:numPr>
        <w:spacing w:after="160" w:line="259" w:lineRule="auto"/>
        <w:ind w:left="426"/>
        <w:rPr>
          <w:rFonts w:cs="Arial"/>
          <w:highlight w:val="yellow"/>
        </w:rPr>
      </w:pPr>
      <w:r w:rsidRPr="006B3FD0">
        <w:rPr>
          <w:rFonts w:cs="Arial"/>
          <w:highlight w:val="yellow"/>
        </w:rPr>
        <w:t>the market rate and charges for a comparable product</w:t>
      </w:r>
      <w:r w:rsidR="00E6796A" w:rsidRPr="006B3FD0">
        <w:rPr>
          <w:rFonts w:cs="Arial"/>
          <w:highlight w:val="yellow"/>
        </w:rPr>
        <w:t xml:space="preserve"> are in line with our advice proposition</w:t>
      </w:r>
      <w:r w:rsidR="00BD09EA" w:rsidRPr="006B3FD0">
        <w:rPr>
          <w:rFonts w:cs="Arial"/>
          <w:highlight w:val="yellow"/>
        </w:rPr>
        <w:t>.</w:t>
      </w:r>
    </w:p>
    <w:p w14:paraId="510F5997" w14:textId="6C85654E" w:rsidR="00B62D46" w:rsidRPr="006B3FD0" w:rsidRDefault="006B61B3" w:rsidP="002057F1">
      <w:pPr>
        <w:pStyle w:val="ListParagraph"/>
        <w:numPr>
          <w:ilvl w:val="0"/>
          <w:numId w:val="30"/>
        </w:numPr>
        <w:spacing w:after="160" w:line="259" w:lineRule="auto"/>
        <w:ind w:left="426"/>
        <w:rPr>
          <w:rFonts w:cs="Arial"/>
          <w:color w:val="C00000"/>
        </w:rPr>
      </w:pPr>
      <w:r w:rsidRPr="006B3FD0">
        <w:rPr>
          <w:rFonts w:cs="Arial"/>
          <w:color w:val="C00000"/>
        </w:rPr>
        <w:t xml:space="preserve">Are </w:t>
      </w:r>
      <w:r w:rsidR="00E6796A" w:rsidRPr="006B3FD0">
        <w:rPr>
          <w:rFonts w:cs="Arial"/>
          <w:color w:val="C00000"/>
        </w:rPr>
        <w:t xml:space="preserve">there any </w:t>
      </w:r>
      <w:r w:rsidRPr="006B3FD0">
        <w:rPr>
          <w:rFonts w:cs="Arial"/>
          <w:color w:val="C00000"/>
        </w:rPr>
        <w:t xml:space="preserve">non-financial benefits (such as enhanced customer service) </w:t>
      </w:r>
      <w:r w:rsidR="00E6796A" w:rsidRPr="006B3FD0">
        <w:rPr>
          <w:rFonts w:cs="Arial"/>
          <w:color w:val="C00000"/>
        </w:rPr>
        <w:t xml:space="preserve">that are </w:t>
      </w:r>
      <w:r w:rsidRPr="006B3FD0">
        <w:rPr>
          <w:rFonts w:cs="Arial"/>
          <w:color w:val="C00000"/>
        </w:rPr>
        <w:t>considered as part of the benefits and costs?</w:t>
      </w:r>
    </w:p>
    <w:p w14:paraId="718AB6FC" w14:textId="6F55C86F" w:rsidR="005860BC" w:rsidRPr="009A760F" w:rsidRDefault="005860BC" w:rsidP="00B62D46">
      <w:pPr>
        <w:spacing w:after="0" w:line="240" w:lineRule="auto"/>
        <w:rPr>
          <w:rFonts w:cs="Arial"/>
          <w:u w:val="single"/>
        </w:rPr>
      </w:pPr>
      <w:r w:rsidRPr="009A760F">
        <w:rPr>
          <w:rFonts w:cs="Arial"/>
          <w:u w:val="single"/>
        </w:rPr>
        <w:t xml:space="preserve">How do our costs </w:t>
      </w:r>
      <w:r w:rsidR="0035389B" w:rsidRPr="009A760F">
        <w:rPr>
          <w:rFonts w:cs="Arial"/>
          <w:u w:val="single"/>
        </w:rPr>
        <w:t>interact with time spent with clients?</w:t>
      </w:r>
    </w:p>
    <w:p w14:paraId="071E9FD5" w14:textId="77777777" w:rsidR="0035389B" w:rsidRPr="009A760F" w:rsidRDefault="0035389B" w:rsidP="00B62D46">
      <w:pPr>
        <w:spacing w:after="0" w:line="240" w:lineRule="auto"/>
        <w:rPr>
          <w:rFonts w:cs="Arial"/>
        </w:rPr>
      </w:pPr>
    </w:p>
    <w:p w14:paraId="59D43CA3" w14:textId="5DD5043E" w:rsidR="005860BC" w:rsidRPr="009A760F" w:rsidRDefault="005860BC" w:rsidP="005860BC">
      <w:pPr>
        <w:rPr>
          <w:rFonts w:cs="Arial"/>
        </w:rPr>
      </w:pPr>
      <w:r w:rsidRPr="009A760F">
        <w:rPr>
          <w:rFonts w:cs="Arial"/>
        </w:rPr>
        <w:t>We have estimated the cos</w:t>
      </w:r>
      <w:r w:rsidR="0035389B" w:rsidRPr="009A760F">
        <w:rPr>
          <w:rFonts w:cs="Arial"/>
        </w:rPr>
        <w:t xml:space="preserve">t to </w:t>
      </w:r>
      <w:r w:rsidR="003838C6" w:rsidRPr="009A760F">
        <w:rPr>
          <w:rFonts w:cs="Arial"/>
        </w:rPr>
        <w:t>deliver our service</w:t>
      </w:r>
      <w:r w:rsidRPr="009A760F">
        <w:rPr>
          <w:rFonts w:cs="Arial"/>
        </w:rPr>
        <w:t xml:space="preserve"> across our client bank. This was for the period of </w:t>
      </w:r>
      <w:r w:rsidR="003838C6" w:rsidRPr="009A760F">
        <w:rPr>
          <w:rFonts w:cs="Arial"/>
        </w:rPr>
        <w:t>1</w:t>
      </w:r>
      <w:r w:rsidR="003838C6" w:rsidRPr="009A760F">
        <w:rPr>
          <w:rFonts w:cs="Arial"/>
          <w:vertAlign w:val="superscript"/>
        </w:rPr>
        <w:t>st</w:t>
      </w:r>
      <w:r w:rsidR="003838C6" w:rsidRPr="009A760F">
        <w:rPr>
          <w:rFonts w:cs="Arial"/>
        </w:rPr>
        <w:t xml:space="preserve"> August 202</w:t>
      </w:r>
      <w:r w:rsidR="00522A24" w:rsidRPr="009A760F">
        <w:rPr>
          <w:rFonts w:cs="Arial"/>
        </w:rPr>
        <w:t>5</w:t>
      </w:r>
      <w:r w:rsidR="003838C6" w:rsidRPr="009A760F">
        <w:rPr>
          <w:rFonts w:cs="Arial"/>
        </w:rPr>
        <w:t xml:space="preserve"> – 1</w:t>
      </w:r>
      <w:r w:rsidR="003838C6" w:rsidRPr="009A760F">
        <w:rPr>
          <w:rFonts w:cs="Arial"/>
          <w:vertAlign w:val="superscript"/>
        </w:rPr>
        <w:t>st</w:t>
      </w:r>
      <w:r w:rsidR="003838C6" w:rsidRPr="009A760F">
        <w:rPr>
          <w:rFonts w:cs="Arial"/>
        </w:rPr>
        <w:t xml:space="preserve"> July 202</w:t>
      </w:r>
      <w:r w:rsidR="00522A24" w:rsidRPr="009A760F">
        <w:rPr>
          <w:rFonts w:cs="Arial"/>
        </w:rPr>
        <w:t>6</w:t>
      </w:r>
      <w:r w:rsidRPr="009A760F">
        <w:rPr>
          <w:rFonts w:cs="Arial"/>
        </w:rPr>
        <w:t>.</w:t>
      </w:r>
    </w:p>
    <w:p w14:paraId="7E2979B3" w14:textId="3A57AB19" w:rsidR="005860BC" w:rsidRPr="009A760F" w:rsidRDefault="005860BC" w:rsidP="005860BC">
      <w:pPr>
        <w:rPr>
          <w:rFonts w:cs="Arial"/>
        </w:rPr>
      </w:pPr>
      <w:r w:rsidRPr="009A760F">
        <w:rPr>
          <w:rFonts w:cs="Arial"/>
        </w:rPr>
        <w:t xml:space="preserve">This proved complicated due to </w:t>
      </w:r>
      <w:r w:rsidR="003838C6" w:rsidRPr="009A760F">
        <w:rPr>
          <w:rFonts w:cs="Arial"/>
        </w:rPr>
        <w:t>numerous factors</w:t>
      </w:r>
      <w:r w:rsidRPr="009A760F">
        <w:rPr>
          <w:rFonts w:cs="Arial"/>
        </w:rPr>
        <w:t xml:space="preserve"> that go into delivering our service beyond time directly logged against clients - there are fixed costs and salaries for work not directly attributable to individual clients that are difficult to allocate. </w:t>
      </w:r>
    </w:p>
    <w:p w14:paraId="2084D9A2" w14:textId="2944FE01" w:rsidR="005860BC" w:rsidRPr="009A760F" w:rsidRDefault="005860BC" w:rsidP="005860BC">
      <w:pPr>
        <w:rPr>
          <w:rFonts w:cs="Arial"/>
        </w:rPr>
      </w:pPr>
      <w:r w:rsidRPr="009A760F">
        <w:rPr>
          <w:rFonts w:cs="Arial"/>
        </w:rPr>
        <w:t>Because of this, we have tried to summarise this type of analysis in the following table:</w:t>
      </w:r>
    </w:p>
    <w:tbl>
      <w:tblPr>
        <w:tblStyle w:val="TableGrid"/>
        <w:tblW w:w="10490" w:type="dxa"/>
        <w:tblInd w:w="-714" w:type="dxa"/>
        <w:tblLook w:val="04A0" w:firstRow="1" w:lastRow="0" w:firstColumn="1" w:lastColumn="0" w:noHBand="0" w:noVBand="1"/>
      </w:tblPr>
      <w:tblGrid>
        <w:gridCol w:w="1617"/>
        <w:gridCol w:w="1212"/>
        <w:gridCol w:w="1006"/>
        <w:gridCol w:w="1561"/>
        <w:gridCol w:w="1217"/>
        <w:gridCol w:w="1006"/>
        <w:gridCol w:w="1312"/>
        <w:gridCol w:w="1559"/>
      </w:tblGrid>
      <w:tr w:rsidR="003838C6" w:rsidRPr="009A760F" w14:paraId="16F59FD3" w14:textId="77777777" w:rsidTr="002C564D">
        <w:tc>
          <w:tcPr>
            <w:tcW w:w="1617" w:type="dxa"/>
          </w:tcPr>
          <w:p w14:paraId="239DE775" w14:textId="61218BC0" w:rsidR="005860BC" w:rsidRPr="009A760F" w:rsidRDefault="00B46178" w:rsidP="00C165F0">
            <w:pPr>
              <w:rPr>
                <w:rFonts w:cs="Arial"/>
                <w:b/>
                <w:bCs/>
                <w:szCs w:val="20"/>
              </w:rPr>
            </w:pPr>
            <w:r w:rsidRPr="009A760F">
              <w:rPr>
                <w:rFonts w:cs="Arial"/>
                <w:b/>
                <w:bCs/>
                <w:szCs w:val="20"/>
              </w:rPr>
              <w:t>Proposition</w:t>
            </w:r>
          </w:p>
        </w:tc>
        <w:tc>
          <w:tcPr>
            <w:tcW w:w="1212" w:type="dxa"/>
          </w:tcPr>
          <w:p w14:paraId="7BC5318B" w14:textId="77777777" w:rsidR="005860BC" w:rsidRPr="009A760F" w:rsidRDefault="005860BC" w:rsidP="00C165F0">
            <w:pPr>
              <w:rPr>
                <w:rFonts w:cs="Arial"/>
                <w:b/>
                <w:bCs/>
                <w:szCs w:val="20"/>
              </w:rPr>
            </w:pPr>
            <w:r w:rsidRPr="009A760F">
              <w:rPr>
                <w:rFonts w:cs="Arial"/>
                <w:b/>
                <w:bCs/>
                <w:szCs w:val="20"/>
              </w:rPr>
              <w:t>Average Income</w:t>
            </w:r>
          </w:p>
        </w:tc>
        <w:tc>
          <w:tcPr>
            <w:tcW w:w="1006" w:type="dxa"/>
          </w:tcPr>
          <w:p w14:paraId="570A8A9F" w14:textId="4123CE3C" w:rsidR="005860BC" w:rsidRPr="009A760F" w:rsidRDefault="005860BC" w:rsidP="00C165F0">
            <w:pPr>
              <w:rPr>
                <w:rFonts w:cs="Arial"/>
                <w:b/>
                <w:bCs/>
                <w:szCs w:val="20"/>
              </w:rPr>
            </w:pPr>
            <w:r w:rsidRPr="009A760F">
              <w:rPr>
                <w:rFonts w:cs="Arial"/>
                <w:b/>
                <w:bCs/>
                <w:szCs w:val="20"/>
              </w:rPr>
              <w:t xml:space="preserve">Average Time </w:t>
            </w:r>
            <w:r w:rsidR="002F2B8A" w:rsidRPr="009A760F">
              <w:rPr>
                <w:rFonts w:cs="Arial"/>
                <w:b/>
                <w:bCs/>
                <w:szCs w:val="20"/>
              </w:rPr>
              <w:t xml:space="preserve">Spent </w:t>
            </w:r>
            <w:r w:rsidRPr="009A760F">
              <w:rPr>
                <w:rFonts w:cs="Arial"/>
                <w:b/>
                <w:bCs/>
                <w:szCs w:val="20"/>
              </w:rPr>
              <w:t>(hours)</w:t>
            </w:r>
          </w:p>
        </w:tc>
        <w:tc>
          <w:tcPr>
            <w:tcW w:w="1561" w:type="dxa"/>
          </w:tcPr>
          <w:p w14:paraId="4A74C99B" w14:textId="77777777" w:rsidR="005860BC" w:rsidRPr="009A760F" w:rsidRDefault="005860BC" w:rsidP="00C165F0">
            <w:pPr>
              <w:rPr>
                <w:rFonts w:cs="Arial"/>
                <w:b/>
                <w:bCs/>
                <w:szCs w:val="20"/>
              </w:rPr>
            </w:pPr>
            <w:r w:rsidRPr="009A760F">
              <w:rPr>
                <w:rFonts w:cs="Arial"/>
                <w:b/>
                <w:bCs/>
                <w:szCs w:val="20"/>
              </w:rPr>
              <w:t>Average Appointments</w:t>
            </w:r>
          </w:p>
        </w:tc>
        <w:tc>
          <w:tcPr>
            <w:tcW w:w="1217" w:type="dxa"/>
          </w:tcPr>
          <w:p w14:paraId="7D6722F6" w14:textId="77777777" w:rsidR="005860BC" w:rsidRPr="009A760F" w:rsidRDefault="005860BC" w:rsidP="00C165F0">
            <w:pPr>
              <w:rPr>
                <w:rFonts w:cs="Arial"/>
                <w:b/>
                <w:bCs/>
                <w:szCs w:val="20"/>
              </w:rPr>
            </w:pPr>
            <w:r w:rsidRPr="009A760F">
              <w:rPr>
                <w:rFonts w:cs="Arial"/>
                <w:b/>
                <w:bCs/>
                <w:szCs w:val="20"/>
              </w:rPr>
              <w:t>Average Additional Services (excluding review meetings)</w:t>
            </w:r>
          </w:p>
        </w:tc>
        <w:tc>
          <w:tcPr>
            <w:tcW w:w="1006" w:type="dxa"/>
          </w:tcPr>
          <w:p w14:paraId="78B52788" w14:textId="77777777" w:rsidR="005860BC" w:rsidRPr="009A760F" w:rsidRDefault="005860BC" w:rsidP="00C165F0">
            <w:pPr>
              <w:rPr>
                <w:rFonts w:cs="Arial"/>
                <w:b/>
                <w:bCs/>
                <w:szCs w:val="20"/>
              </w:rPr>
            </w:pPr>
            <w:r w:rsidRPr="009A760F">
              <w:rPr>
                <w:rFonts w:cs="Arial"/>
                <w:b/>
                <w:bCs/>
                <w:szCs w:val="20"/>
              </w:rPr>
              <w:t>Average Cost to deliver service</w:t>
            </w:r>
          </w:p>
        </w:tc>
        <w:tc>
          <w:tcPr>
            <w:tcW w:w="1312" w:type="dxa"/>
          </w:tcPr>
          <w:p w14:paraId="58BA8976" w14:textId="2A66E8A6" w:rsidR="005860BC" w:rsidRPr="009A760F" w:rsidRDefault="005860BC" w:rsidP="00C165F0">
            <w:pPr>
              <w:rPr>
                <w:rFonts w:cs="Arial"/>
                <w:b/>
                <w:bCs/>
                <w:szCs w:val="20"/>
              </w:rPr>
            </w:pPr>
            <w:r w:rsidRPr="009A760F">
              <w:rPr>
                <w:rFonts w:cs="Arial"/>
                <w:b/>
                <w:bCs/>
                <w:szCs w:val="20"/>
              </w:rPr>
              <w:t xml:space="preserve">Profitable </w:t>
            </w:r>
            <w:r w:rsidR="00B46178" w:rsidRPr="009A760F">
              <w:rPr>
                <w:rFonts w:cs="Arial"/>
                <w:b/>
                <w:bCs/>
                <w:szCs w:val="20"/>
              </w:rPr>
              <w:t>clients within each service</w:t>
            </w:r>
          </w:p>
        </w:tc>
        <w:tc>
          <w:tcPr>
            <w:tcW w:w="1559" w:type="dxa"/>
          </w:tcPr>
          <w:p w14:paraId="073853DB" w14:textId="6ABD2876" w:rsidR="005860BC" w:rsidRPr="009A760F" w:rsidRDefault="005860BC" w:rsidP="00C165F0">
            <w:pPr>
              <w:rPr>
                <w:rFonts w:cs="Arial"/>
                <w:b/>
                <w:bCs/>
                <w:szCs w:val="20"/>
              </w:rPr>
            </w:pPr>
            <w:r w:rsidRPr="009A760F">
              <w:rPr>
                <w:rFonts w:cs="Arial"/>
                <w:b/>
                <w:bCs/>
                <w:szCs w:val="20"/>
              </w:rPr>
              <w:t xml:space="preserve">Number of total </w:t>
            </w:r>
            <w:r w:rsidR="00B46178" w:rsidRPr="009A760F">
              <w:rPr>
                <w:rFonts w:cs="Arial"/>
                <w:b/>
                <w:bCs/>
                <w:szCs w:val="20"/>
              </w:rPr>
              <w:t>clients within the service</w:t>
            </w:r>
          </w:p>
        </w:tc>
      </w:tr>
      <w:tr w:rsidR="003838C6" w:rsidRPr="009A760F" w14:paraId="59687B94" w14:textId="77777777" w:rsidTr="002C564D">
        <w:tc>
          <w:tcPr>
            <w:tcW w:w="1617" w:type="dxa"/>
          </w:tcPr>
          <w:p w14:paraId="68011C05" w14:textId="73E5B944" w:rsidR="005860BC" w:rsidRPr="009A760F" w:rsidRDefault="00176598" w:rsidP="00C165F0">
            <w:pPr>
              <w:rPr>
                <w:rFonts w:cs="Arial"/>
                <w:color w:val="EE0000"/>
                <w:szCs w:val="20"/>
              </w:rPr>
            </w:pPr>
            <w:r w:rsidRPr="009A760F">
              <w:rPr>
                <w:rFonts w:cs="Arial"/>
                <w:color w:val="EE0000"/>
                <w:szCs w:val="20"/>
              </w:rPr>
              <w:t xml:space="preserve">E.g. </w:t>
            </w:r>
            <w:r w:rsidR="002F2B8A" w:rsidRPr="009A760F">
              <w:rPr>
                <w:rFonts w:cs="Arial"/>
                <w:color w:val="EE0000"/>
                <w:szCs w:val="20"/>
              </w:rPr>
              <w:t>Bronze</w:t>
            </w:r>
          </w:p>
        </w:tc>
        <w:tc>
          <w:tcPr>
            <w:tcW w:w="1212" w:type="dxa"/>
          </w:tcPr>
          <w:p w14:paraId="0D9CD8C4" w14:textId="77777777" w:rsidR="005860BC" w:rsidRPr="009A760F" w:rsidRDefault="005860BC" w:rsidP="00C165F0">
            <w:pPr>
              <w:rPr>
                <w:rFonts w:cs="Arial"/>
                <w:color w:val="EE0000"/>
                <w:szCs w:val="20"/>
              </w:rPr>
            </w:pPr>
            <w:r w:rsidRPr="009A760F">
              <w:rPr>
                <w:rFonts w:cs="Arial"/>
                <w:color w:val="EE0000"/>
                <w:szCs w:val="20"/>
              </w:rPr>
              <w:t>£X</w:t>
            </w:r>
          </w:p>
        </w:tc>
        <w:tc>
          <w:tcPr>
            <w:tcW w:w="1006" w:type="dxa"/>
          </w:tcPr>
          <w:p w14:paraId="55348EB9" w14:textId="77777777" w:rsidR="005860BC" w:rsidRPr="009A760F" w:rsidRDefault="005860BC" w:rsidP="00C165F0">
            <w:pPr>
              <w:rPr>
                <w:rFonts w:cs="Arial"/>
                <w:color w:val="EE0000"/>
                <w:szCs w:val="20"/>
              </w:rPr>
            </w:pPr>
            <w:r w:rsidRPr="009A760F">
              <w:rPr>
                <w:rFonts w:cs="Arial"/>
                <w:color w:val="EE0000"/>
                <w:szCs w:val="20"/>
              </w:rPr>
              <w:t>X</w:t>
            </w:r>
          </w:p>
        </w:tc>
        <w:tc>
          <w:tcPr>
            <w:tcW w:w="1561" w:type="dxa"/>
          </w:tcPr>
          <w:p w14:paraId="5C543FE6" w14:textId="77777777" w:rsidR="005860BC" w:rsidRPr="009A760F" w:rsidRDefault="005860BC" w:rsidP="00C165F0">
            <w:pPr>
              <w:rPr>
                <w:rFonts w:cs="Arial"/>
                <w:color w:val="EE0000"/>
                <w:szCs w:val="20"/>
              </w:rPr>
            </w:pPr>
            <w:r w:rsidRPr="009A760F">
              <w:rPr>
                <w:rFonts w:cs="Arial"/>
                <w:color w:val="EE0000"/>
                <w:szCs w:val="20"/>
              </w:rPr>
              <w:t>E.g. 1</w:t>
            </w:r>
          </w:p>
        </w:tc>
        <w:tc>
          <w:tcPr>
            <w:tcW w:w="1217" w:type="dxa"/>
          </w:tcPr>
          <w:p w14:paraId="27243B97" w14:textId="19E1F90C" w:rsidR="005860BC" w:rsidRPr="009A760F" w:rsidRDefault="005860BC" w:rsidP="00C165F0">
            <w:pPr>
              <w:rPr>
                <w:rFonts w:cs="Arial"/>
                <w:color w:val="EE0000"/>
                <w:szCs w:val="20"/>
              </w:rPr>
            </w:pPr>
            <w:r w:rsidRPr="009A760F">
              <w:rPr>
                <w:rFonts w:cs="Arial"/>
                <w:color w:val="EE0000"/>
                <w:szCs w:val="20"/>
              </w:rPr>
              <w:t xml:space="preserve">E.g. </w:t>
            </w:r>
            <w:r w:rsidR="00B46178" w:rsidRPr="009A760F">
              <w:rPr>
                <w:rFonts w:cs="Arial"/>
                <w:color w:val="EE0000"/>
                <w:szCs w:val="20"/>
              </w:rPr>
              <w:t>0</w:t>
            </w:r>
          </w:p>
        </w:tc>
        <w:tc>
          <w:tcPr>
            <w:tcW w:w="1006" w:type="dxa"/>
          </w:tcPr>
          <w:p w14:paraId="340ECBF3" w14:textId="77777777" w:rsidR="005860BC" w:rsidRPr="009A760F" w:rsidRDefault="005860BC" w:rsidP="00C165F0">
            <w:pPr>
              <w:rPr>
                <w:rFonts w:cs="Arial"/>
                <w:color w:val="EE0000"/>
                <w:szCs w:val="20"/>
              </w:rPr>
            </w:pPr>
            <w:r w:rsidRPr="009A760F">
              <w:rPr>
                <w:rFonts w:cs="Arial"/>
                <w:color w:val="EE0000"/>
                <w:szCs w:val="20"/>
              </w:rPr>
              <w:t>£X</w:t>
            </w:r>
          </w:p>
        </w:tc>
        <w:tc>
          <w:tcPr>
            <w:tcW w:w="1312" w:type="dxa"/>
          </w:tcPr>
          <w:p w14:paraId="36B2F6AE" w14:textId="77777777" w:rsidR="005860BC" w:rsidRPr="009A760F" w:rsidRDefault="005860BC" w:rsidP="00C165F0">
            <w:pPr>
              <w:rPr>
                <w:rFonts w:cs="Arial"/>
                <w:color w:val="EE0000"/>
                <w:szCs w:val="20"/>
              </w:rPr>
            </w:pPr>
            <w:r w:rsidRPr="009A760F">
              <w:rPr>
                <w:rFonts w:cs="Arial"/>
                <w:color w:val="EE0000"/>
                <w:szCs w:val="20"/>
              </w:rPr>
              <w:t>E.g. 15</w:t>
            </w:r>
          </w:p>
        </w:tc>
        <w:tc>
          <w:tcPr>
            <w:tcW w:w="1559" w:type="dxa"/>
          </w:tcPr>
          <w:p w14:paraId="0AAE3D0B" w14:textId="77777777" w:rsidR="005860BC" w:rsidRPr="009A760F" w:rsidRDefault="005860BC" w:rsidP="00C165F0">
            <w:pPr>
              <w:rPr>
                <w:rFonts w:cs="Arial"/>
                <w:color w:val="EE0000"/>
                <w:szCs w:val="20"/>
              </w:rPr>
            </w:pPr>
            <w:r w:rsidRPr="009A760F">
              <w:rPr>
                <w:rFonts w:cs="Arial"/>
                <w:color w:val="EE0000"/>
                <w:szCs w:val="20"/>
              </w:rPr>
              <w:t>e.g. 75</w:t>
            </w:r>
          </w:p>
        </w:tc>
      </w:tr>
      <w:tr w:rsidR="003838C6" w:rsidRPr="009A760F" w14:paraId="67936605" w14:textId="77777777" w:rsidTr="002C564D">
        <w:tc>
          <w:tcPr>
            <w:tcW w:w="1617" w:type="dxa"/>
          </w:tcPr>
          <w:p w14:paraId="1859B988" w14:textId="3194AE04" w:rsidR="005860BC" w:rsidRPr="009A760F" w:rsidRDefault="00176598" w:rsidP="00C165F0">
            <w:pPr>
              <w:rPr>
                <w:rFonts w:cs="Arial"/>
                <w:color w:val="EE0000"/>
                <w:szCs w:val="20"/>
              </w:rPr>
            </w:pPr>
            <w:r w:rsidRPr="009A760F">
              <w:rPr>
                <w:rFonts w:cs="Arial"/>
                <w:color w:val="EE0000"/>
                <w:szCs w:val="20"/>
              </w:rPr>
              <w:t>E.g. Silver</w:t>
            </w:r>
          </w:p>
        </w:tc>
        <w:tc>
          <w:tcPr>
            <w:tcW w:w="1212" w:type="dxa"/>
          </w:tcPr>
          <w:p w14:paraId="452F44F0" w14:textId="77777777" w:rsidR="005860BC" w:rsidRPr="009A760F" w:rsidRDefault="005860BC" w:rsidP="00C165F0">
            <w:pPr>
              <w:rPr>
                <w:rFonts w:cs="Arial"/>
                <w:color w:val="EE0000"/>
                <w:szCs w:val="20"/>
              </w:rPr>
            </w:pPr>
            <w:r w:rsidRPr="009A760F">
              <w:rPr>
                <w:rFonts w:cs="Arial"/>
                <w:color w:val="EE0000"/>
                <w:szCs w:val="20"/>
              </w:rPr>
              <w:t>£X</w:t>
            </w:r>
          </w:p>
        </w:tc>
        <w:tc>
          <w:tcPr>
            <w:tcW w:w="1006" w:type="dxa"/>
          </w:tcPr>
          <w:p w14:paraId="41747D4F" w14:textId="77777777" w:rsidR="005860BC" w:rsidRPr="009A760F" w:rsidRDefault="005860BC" w:rsidP="00C165F0">
            <w:pPr>
              <w:rPr>
                <w:rFonts w:cs="Arial"/>
                <w:color w:val="EE0000"/>
                <w:szCs w:val="20"/>
              </w:rPr>
            </w:pPr>
            <w:r w:rsidRPr="009A760F">
              <w:rPr>
                <w:rFonts w:cs="Arial"/>
                <w:color w:val="EE0000"/>
                <w:szCs w:val="20"/>
              </w:rPr>
              <w:t>X</w:t>
            </w:r>
          </w:p>
        </w:tc>
        <w:tc>
          <w:tcPr>
            <w:tcW w:w="1561" w:type="dxa"/>
          </w:tcPr>
          <w:p w14:paraId="2CF81C89" w14:textId="0DFA3B20" w:rsidR="005860BC" w:rsidRPr="009A760F" w:rsidRDefault="005860BC" w:rsidP="00C165F0">
            <w:pPr>
              <w:rPr>
                <w:rFonts w:cs="Arial"/>
                <w:color w:val="EE0000"/>
                <w:szCs w:val="20"/>
              </w:rPr>
            </w:pPr>
            <w:r w:rsidRPr="009A760F">
              <w:rPr>
                <w:rFonts w:cs="Arial"/>
                <w:color w:val="EE0000"/>
                <w:szCs w:val="20"/>
              </w:rPr>
              <w:t xml:space="preserve">E.g. </w:t>
            </w:r>
            <w:r w:rsidR="00B46178" w:rsidRPr="009A760F">
              <w:rPr>
                <w:rFonts w:cs="Arial"/>
                <w:color w:val="EE0000"/>
                <w:szCs w:val="20"/>
              </w:rPr>
              <w:t>1</w:t>
            </w:r>
          </w:p>
        </w:tc>
        <w:tc>
          <w:tcPr>
            <w:tcW w:w="1217" w:type="dxa"/>
          </w:tcPr>
          <w:p w14:paraId="456B8FA2" w14:textId="059D9B22" w:rsidR="005860BC" w:rsidRPr="009A760F" w:rsidRDefault="005860BC" w:rsidP="00C165F0">
            <w:pPr>
              <w:rPr>
                <w:rFonts w:cs="Arial"/>
                <w:color w:val="EE0000"/>
                <w:szCs w:val="20"/>
              </w:rPr>
            </w:pPr>
            <w:r w:rsidRPr="009A760F">
              <w:rPr>
                <w:rFonts w:cs="Arial"/>
                <w:color w:val="EE0000"/>
                <w:szCs w:val="20"/>
              </w:rPr>
              <w:t xml:space="preserve">E.g. </w:t>
            </w:r>
            <w:r w:rsidR="00B46178" w:rsidRPr="009A760F">
              <w:rPr>
                <w:rFonts w:cs="Arial"/>
                <w:color w:val="EE0000"/>
                <w:szCs w:val="20"/>
              </w:rPr>
              <w:t>1</w:t>
            </w:r>
          </w:p>
        </w:tc>
        <w:tc>
          <w:tcPr>
            <w:tcW w:w="1006" w:type="dxa"/>
          </w:tcPr>
          <w:p w14:paraId="4A7207DA" w14:textId="77777777" w:rsidR="005860BC" w:rsidRPr="009A760F" w:rsidRDefault="005860BC" w:rsidP="00C165F0">
            <w:pPr>
              <w:rPr>
                <w:rFonts w:cs="Arial"/>
                <w:color w:val="EE0000"/>
                <w:szCs w:val="20"/>
              </w:rPr>
            </w:pPr>
            <w:r w:rsidRPr="009A760F">
              <w:rPr>
                <w:rFonts w:cs="Arial"/>
                <w:color w:val="EE0000"/>
                <w:szCs w:val="20"/>
              </w:rPr>
              <w:t>£X</w:t>
            </w:r>
          </w:p>
        </w:tc>
        <w:tc>
          <w:tcPr>
            <w:tcW w:w="1312" w:type="dxa"/>
          </w:tcPr>
          <w:p w14:paraId="13A41369" w14:textId="77777777" w:rsidR="005860BC" w:rsidRPr="009A760F" w:rsidRDefault="005860BC" w:rsidP="00C165F0">
            <w:pPr>
              <w:rPr>
                <w:rFonts w:cs="Arial"/>
                <w:color w:val="EE0000"/>
                <w:szCs w:val="20"/>
              </w:rPr>
            </w:pPr>
            <w:r w:rsidRPr="009A760F">
              <w:rPr>
                <w:rFonts w:cs="Arial"/>
                <w:color w:val="EE0000"/>
                <w:szCs w:val="20"/>
              </w:rPr>
              <w:t>E.g. 50</w:t>
            </w:r>
          </w:p>
        </w:tc>
        <w:tc>
          <w:tcPr>
            <w:tcW w:w="1559" w:type="dxa"/>
          </w:tcPr>
          <w:p w14:paraId="18895520" w14:textId="77777777" w:rsidR="005860BC" w:rsidRPr="009A760F" w:rsidRDefault="005860BC" w:rsidP="00C165F0">
            <w:pPr>
              <w:rPr>
                <w:rFonts w:cs="Arial"/>
                <w:color w:val="EE0000"/>
                <w:szCs w:val="20"/>
              </w:rPr>
            </w:pPr>
            <w:r w:rsidRPr="009A760F">
              <w:rPr>
                <w:rFonts w:cs="Arial"/>
                <w:color w:val="EE0000"/>
                <w:szCs w:val="20"/>
              </w:rPr>
              <w:t>E.g. 75</w:t>
            </w:r>
          </w:p>
        </w:tc>
      </w:tr>
      <w:tr w:rsidR="003838C6" w:rsidRPr="009A760F" w14:paraId="5ED779AA" w14:textId="77777777" w:rsidTr="002C564D">
        <w:tc>
          <w:tcPr>
            <w:tcW w:w="1617" w:type="dxa"/>
          </w:tcPr>
          <w:p w14:paraId="1CBDACE7" w14:textId="73F81462" w:rsidR="005860BC" w:rsidRPr="009A760F" w:rsidRDefault="00176598" w:rsidP="00C165F0">
            <w:pPr>
              <w:rPr>
                <w:rFonts w:cs="Arial"/>
                <w:color w:val="EE0000"/>
                <w:szCs w:val="20"/>
              </w:rPr>
            </w:pPr>
            <w:r w:rsidRPr="009A760F">
              <w:rPr>
                <w:rFonts w:cs="Arial"/>
                <w:color w:val="EE0000"/>
                <w:szCs w:val="20"/>
              </w:rPr>
              <w:t xml:space="preserve">E.g. </w:t>
            </w:r>
            <w:r w:rsidR="002F2B8A" w:rsidRPr="009A760F">
              <w:rPr>
                <w:rFonts w:cs="Arial"/>
                <w:color w:val="EE0000"/>
                <w:szCs w:val="20"/>
              </w:rPr>
              <w:t>Gold</w:t>
            </w:r>
          </w:p>
        </w:tc>
        <w:tc>
          <w:tcPr>
            <w:tcW w:w="1212" w:type="dxa"/>
          </w:tcPr>
          <w:p w14:paraId="339EE0A7" w14:textId="77777777" w:rsidR="005860BC" w:rsidRPr="009A760F" w:rsidRDefault="005860BC" w:rsidP="00C165F0">
            <w:pPr>
              <w:rPr>
                <w:rFonts w:cs="Arial"/>
                <w:color w:val="EE0000"/>
                <w:szCs w:val="20"/>
              </w:rPr>
            </w:pPr>
            <w:r w:rsidRPr="009A760F">
              <w:rPr>
                <w:rFonts w:cs="Arial"/>
                <w:color w:val="EE0000"/>
                <w:szCs w:val="20"/>
              </w:rPr>
              <w:t>£X</w:t>
            </w:r>
          </w:p>
        </w:tc>
        <w:tc>
          <w:tcPr>
            <w:tcW w:w="1006" w:type="dxa"/>
          </w:tcPr>
          <w:p w14:paraId="711D2C20" w14:textId="77777777" w:rsidR="005860BC" w:rsidRPr="009A760F" w:rsidRDefault="005860BC" w:rsidP="00C165F0">
            <w:pPr>
              <w:rPr>
                <w:rFonts w:cs="Arial"/>
                <w:color w:val="EE0000"/>
                <w:szCs w:val="20"/>
              </w:rPr>
            </w:pPr>
            <w:r w:rsidRPr="009A760F">
              <w:rPr>
                <w:rFonts w:cs="Arial"/>
                <w:color w:val="EE0000"/>
                <w:szCs w:val="20"/>
              </w:rPr>
              <w:t>X</w:t>
            </w:r>
          </w:p>
        </w:tc>
        <w:tc>
          <w:tcPr>
            <w:tcW w:w="1561" w:type="dxa"/>
          </w:tcPr>
          <w:p w14:paraId="0732B014" w14:textId="484CAA96" w:rsidR="005860BC" w:rsidRPr="009A760F" w:rsidRDefault="005860BC" w:rsidP="00C165F0">
            <w:pPr>
              <w:rPr>
                <w:rFonts w:cs="Arial"/>
                <w:color w:val="EE0000"/>
                <w:szCs w:val="20"/>
              </w:rPr>
            </w:pPr>
            <w:r w:rsidRPr="009A760F">
              <w:rPr>
                <w:rFonts w:cs="Arial"/>
                <w:color w:val="EE0000"/>
                <w:szCs w:val="20"/>
              </w:rPr>
              <w:t xml:space="preserve">E.g. </w:t>
            </w:r>
            <w:r w:rsidR="00B46178" w:rsidRPr="009A760F">
              <w:rPr>
                <w:rFonts w:cs="Arial"/>
                <w:color w:val="EE0000"/>
                <w:szCs w:val="20"/>
              </w:rPr>
              <w:t>2</w:t>
            </w:r>
          </w:p>
        </w:tc>
        <w:tc>
          <w:tcPr>
            <w:tcW w:w="1217" w:type="dxa"/>
          </w:tcPr>
          <w:p w14:paraId="3E99AAD6" w14:textId="7CB3F70A" w:rsidR="005860BC" w:rsidRPr="009A760F" w:rsidRDefault="005860BC" w:rsidP="00C165F0">
            <w:pPr>
              <w:rPr>
                <w:rFonts w:cs="Arial"/>
                <w:color w:val="EE0000"/>
                <w:szCs w:val="20"/>
              </w:rPr>
            </w:pPr>
            <w:r w:rsidRPr="009A760F">
              <w:rPr>
                <w:rFonts w:cs="Arial"/>
                <w:color w:val="EE0000"/>
                <w:szCs w:val="20"/>
              </w:rPr>
              <w:t xml:space="preserve">E.g. </w:t>
            </w:r>
            <w:r w:rsidR="00B46178" w:rsidRPr="009A760F">
              <w:rPr>
                <w:rFonts w:cs="Arial"/>
                <w:color w:val="EE0000"/>
                <w:szCs w:val="20"/>
              </w:rPr>
              <w:t>1</w:t>
            </w:r>
          </w:p>
        </w:tc>
        <w:tc>
          <w:tcPr>
            <w:tcW w:w="1006" w:type="dxa"/>
          </w:tcPr>
          <w:p w14:paraId="283B96BB" w14:textId="77777777" w:rsidR="005860BC" w:rsidRPr="009A760F" w:rsidRDefault="005860BC" w:rsidP="00C165F0">
            <w:pPr>
              <w:rPr>
                <w:rFonts w:cs="Arial"/>
                <w:color w:val="EE0000"/>
                <w:szCs w:val="20"/>
              </w:rPr>
            </w:pPr>
            <w:r w:rsidRPr="009A760F">
              <w:rPr>
                <w:rFonts w:cs="Arial"/>
                <w:color w:val="EE0000"/>
                <w:szCs w:val="20"/>
              </w:rPr>
              <w:t>£X</w:t>
            </w:r>
          </w:p>
        </w:tc>
        <w:tc>
          <w:tcPr>
            <w:tcW w:w="1312" w:type="dxa"/>
          </w:tcPr>
          <w:p w14:paraId="11124640" w14:textId="77777777" w:rsidR="005860BC" w:rsidRPr="009A760F" w:rsidRDefault="005860BC" w:rsidP="00C165F0">
            <w:pPr>
              <w:rPr>
                <w:rFonts w:cs="Arial"/>
                <w:color w:val="EE0000"/>
                <w:szCs w:val="20"/>
              </w:rPr>
            </w:pPr>
            <w:r w:rsidRPr="009A760F">
              <w:rPr>
                <w:rFonts w:cs="Arial"/>
                <w:color w:val="EE0000"/>
                <w:szCs w:val="20"/>
              </w:rPr>
              <w:t>E.g. 40</w:t>
            </w:r>
          </w:p>
        </w:tc>
        <w:tc>
          <w:tcPr>
            <w:tcW w:w="1559" w:type="dxa"/>
          </w:tcPr>
          <w:p w14:paraId="051DAF37" w14:textId="77777777" w:rsidR="005860BC" w:rsidRPr="009A760F" w:rsidRDefault="005860BC" w:rsidP="00C165F0">
            <w:pPr>
              <w:rPr>
                <w:rFonts w:cs="Arial"/>
                <w:color w:val="EE0000"/>
                <w:szCs w:val="20"/>
              </w:rPr>
            </w:pPr>
            <w:r w:rsidRPr="009A760F">
              <w:rPr>
                <w:rFonts w:cs="Arial"/>
                <w:color w:val="EE0000"/>
                <w:szCs w:val="20"/>
              </w:rPr>
              <w:t>E.g. 50</w:t>
            </w:r>
          </w:p>
        </w:tc>
      </w:tr>
    </w:tbl>
    <w:p w14:paraId="5D601CAF" w14:textId="77777777" w:rsidR="005860BC" w:rsidRPr="009A760F" w:rsidRDefault="005860BC" w:rsidP="005860BC">
      <w:pPr>
        <w:rPr>
          <w:rFonts w:cs="Arial"/>
          <w:color w:val="EE0000"/>
        </w:rPr>
      </w:pPr>
    </w:p>
    <w:p w14:paraId="08336F6E" w14:textId="77777777" w:rsidR="00416E27" w:rsidRDefault="00416E27" w:rsidP="00416E27">
      <w:pPr>
        <w:rPr>
          <w:rFonts w:cs="Arial"/>
        </w:rPr>
      </w:pPr>
      <w:r w:rsidRPr="00BB3718">
        <w:rPr>
          <w:rFonts w:cs="Arial"/>
        </w:rPr>
        <w:lastRenderedPageBreak/>
        <w:t>The Board has considered the cost</w:t>
      </w:r>
      <w:r w:rsidRPr="00BB3718">
        <w:rPr>
          <w:rFonts w:cs="Arial"/>
        </w:rPr>
        <w:noBreakHyphen/>
        <w:t>to</w:t>
      </w:r>
      <w:r w:rsidRPr="00BB3718">
        <w:rPr>
          <w:rFonts w:cs="Arial"/>
        </w:rPr>
        <w:noBreakHyphen/>
        <w:t>deliver analysis and is satisfied that, across each service proposition, the fees charged are proportionate to the level of service provided and the time and expertise involved. While variability exists at an individual client level, there is no evidence of systematic poor value or clients paying for services that are not being delivered.</w:t>
      </w:r>
    </w:p>
    <w:p w14:paraId="6222F7ED" w14:textId="77777777" w:rsidR="0033278D" w:rsidRPr="006F4920" w:rsidRDefault="0033278D" w:rsidP="0033278D">
      <w:pPr>
        <w:rPr>
          <w:rFonts w:cs="Arial"/>
          <w:lang w:val="en-US"/>
        </w:rPr>
      </w:pPr>
      <w:r w:rsidRPr="006F4920">
        <w:rPr>
          <w:rFonts w:cs="Arial"/>
          <w:b/>
          <w:bCs/>
          <w:lang w:val="en-US"/>
        </w:rPr>
        <w:t>Board conclusion – Price and Value</w:t>
      </w:r>
    </w:p>
    <w:p w14:paraId="67A28DB3" w14:textId="5F3FA55E" w:rsidR="0033278D" w:rsidRPr="0033278D" w:rsidRDefault="0033278D" w:rsidP="00416E27">
      <w:pPr>
        <w:rPr>
          <w:rFonts w:cs="Arial"/>
          <w:lang w:val="en-US"/>
        </w:rPr>
      </w:pPr>
      <w:r w:rsidRPr="006F4920">
        <w:rPr>
          <w:rFonts w:cs="Arial"/>
          <w:lang w:val="en-US"/>
        </w:rPr>
        <w:t>Based on the fair value assessment, service proposition reviews, transactional client analysis, cost</w:t>
      </w:r>
      <w:r w:rsidRPr="006F4920">
        <w:rPr>
          <w:rFonts w:cs="Arial"/>
          <w:lang w:val="en-US"/>
        </w:rPr>
        <w:noBreakHyphen/>
        <w:t>to</w:t>
      </w:r>
      <w:r w:rsidRPr="006F4920">
        <w:rPr>
          <w:rFonts w:cs="Arial"/>
          <w:lang w:val="en-US"/>
        </w:rPr>
        <w:noBreakHyphen/>
        <w:t>serve modelling and client feedback reviewed during the period, the Board is satisfied that the firm’s pricing structures and fees remain reasonable, transparent and aligned to the benefits delivered, and that clients across all target markets continue to receive fair value.</w:t>
      </w:r>
    </w:p>
    <w:p w14:paraId="54ECD64A" w14:textId="77777777" w:rsidR="00B62D46" w:rsidRPr="006B3FD0" w:rsidRDefault="00B62D46" w:rsidP="00B62D46">
      <w:pPr>
        <w:rPr>
          <w:rFonts w:cs="Arial"/>
          <w:b/>
          <w:bCs/>
          <w:lang w:val="en-US"/>
        </w:rPr>
      </w:pPr>
      <w:r w:rsidRPr="006B3FD0">
        <w:rPr>
          <w:rFonts w:cs="Arial"/>
          <w:b/>
          <w:bCs/>
          <w:lang w:val="en-US"/>
        </w:rPr>
        <w:t>Further Actions Required</w:t>
      </w:r>
    </w:p>
    <w:tbl>
      <w:tblPr>
        <w:tblStyle w:val="TableGrid"/>
        <w:tblW w:w="9064" w:type="dxa"/>
        <w:tblLook w:val="04A0" w:firstRow="1" w:lastRow="0" w:firstColumn="1" w:lastColumn="0" w:noHBand="0" w:noVBand="1"/>
      </w:tblPr>
      <w:tblGrid>
        <w:gridCol w:w="4390"/>
        <w:gridCol w:w="1668"/>
        <w:gridCol w:w="3006"/>
      </w:tblGrid>
      <w:tr w:rsidR="00F36AD2" w:rsidRPr="006B3FD0" w14:paraId="7A856F16" w14:textId="77777777" w:rsidTr="00857D84">
        <w:tc>
          <w:tcPr>
            <w:tcW w:w="4390" w:type="dxa"/>
            <w:shd w:val="clear" w:color="auto" w:fill="E7E6E6" w:themeFill="background2"/>
          </w:tcPr>
          <w:p w14:paraId="18F023E9"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Action Identified</w:t>
            </w:r>
          </w:p>
        </w:tc>
        <w:tc>
          <w:tcPr>
            <w:tcW w:w="1668" w:type="dxa"/>
            <w:shd w:val="clear" w:color="auto" w:fill="E7E6E6" w:themeFill="background2"/>
          </w:tcPr>
          <w:p w14:paraId="4F9E5951"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Action Owner</w:t>
            </w:r>
          </w:p>
        </w:tc>
        <w:tc>
          <w:tcPr>
            <w:tcW w:w="3006" w:type="dxa"/>
            <w:shd w:val="clear" w:color="auto" w:fill="E7E6E6" w:themeFill="background2"/>
          </w:tcPr>
          <w:p w14:paraId="08D550B2"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Timeframe for completion</w:t>
            </w:r>
          </w:p>
        </w:tc>
      </w:tr>
      <w:tr w:rsidR="00F36AD2" w:rsidRPr="006B3FD0" w14:paraId="711A70CA" w14:textId="77777777" w:rsidTr="00857D84">
        <w:tc>
          <w:tcPr>
            <w:tcW w:w="4390" w:type="dxa"/>
          </w:tcPr>
          <w:p w14:paraId="6C03A88F" w14:textId="77777777" w:rsidR="00F36AD2" w:rsidRPr="006B3FD0" w:rsidRDefault="00F36AD2" w:rsidP="00857D84">
            <w:pPr>
              <w:spacing w:after="160" w:line="259" w:lineRule="auto"/>
              <w:rPr>
                <w:rFonts w:cs="Arial"/>
                <w:szCs w:val="22"/>
                <w:lang w:bidi="en-US"/>
              </w:rPr>
            </w:pPr>
          </w:p>
        </w:tc>
        <w:tc>
          <w:tcPr>
            <w:tcW w:w="1668" w:type="dxa"/>
          </w:tcPr>
          <w:p w14:paraId="636662AB" w14:textId="77777777" w:rsidR="00F36AD2" w:rsidRPr="006B3FD0" w:rsidRDefault="00F36AD2" w:rsidP="00857D84">
            <w:pPr>
              <w:spacing w:after="160" w:line="259" w:lineRule="auto"/>
              <w:rPr>
                <w:rFonts w:cs="Arial"/>
                <w:szCs w:val="22"/>
                <w:lang w:bidi="en-US"/>
              </w:rPr>
            </w:pPr>
          </w:p>
        </w:tc>
        <w:tc>
          <w:tcPr>
            <w:tcW w:w="3006" w:type="dxa"/>
          </w:tcPr>
          <w:p w14:paraId="69E4298A" w14:textId="77777777" w:rsidR="00F36AD2" w:rsidRPr="006B3FD0" w:rsidRDefault="00F36AD2" w:rsidP="00857D84">
            <w:pPr>
              <w:spacing w:after="160" w:line="259" w:lineRule="auto"/>
              <w:rPr>
                <w:rFonts w:cs="Arial"/>
                <w:szCs w:val="22"/>
                <w:lang w:bidi="en-US"/>
              </w:rPr>
            </w:pPr>
          </w:p>
        </w:tc>
      </w:tr>
    </w:tbl>
    <w:p w14:paraId="754AF524" w14:textId="77777777" w:rsidR="00497058" w:rsidRPr="006B3FD0" w:rsidRDefault="00497058" w:rsidP="00497058">
      <w:pPr>
        <w:rPr>
          <w:rFonts w:cs="Arial"/>
        </w:rPr>
      </w:pPr>
    </w:p>
    <w:p w14:paraId="2B01EBEC" w14:textId="2137D09E" w:rsidR="00B62D46" w:rsidRPr="006B3FD0" w:rsidRDefault="00B62D46" w:rsidP="008D29BD">
      <w:pPr>
        <w:pStyle w:val="Heading1"/>
        <w:rPr>
          <w:rFonts w:ascii="Arial" w:hAnsi="Arial"/>
        </w:rPr>
      </w:pPr>
      <w:r w:rsidRPr="006B3FD0">
        <w:rPr>
          <w:rFonts w:ascii="Arial" w:hAnsi="Arial"/>
        </w:rPr>
        <w:t>The Consumer Understanding Outcome</w:t>
      </w:r>
    </w:p>
    <w:p w14:paraId="5B817324" w14:textId="77777777" w:rsidR="008371CB" w:rsidRPr="008371CB" w:rsidRDefault="008371CB" w:rsidP="008371CB">
      <w:pPr>
        <w:rPr>
          <w:rFonts w:cs="Arial"/>
          <w:lang w:val="en-US"/>
        </w:rPr>
      </w:pPr>
      <w:r w:rsidRPr="008371CB">
        <w:rPr>
          <w:rFonts w:cs="Arial"/>
          <w:lang w:val="en-US"/>
        </w:rPr>
        <w:t>Under the Consumer Duty, the Board is required to assess whether customers are being provided with the information they need, at the right time and in a way that supports understanding and effective decision</w:t>
      </w:r>
      <w:r w:rsidRPr="008371CB">
        <w:rPr>
          <w:rFonts w:cs="Arial"/>
          <w:lang w:val="en-US"/>
        </w:rPr>
        <w:noBreakHyphen/>
        <w:t>making. This includes ensuring communications are clear, timely and appropriate to the needs, characteristics and circumstances of customers, including those with characteristics of vulnerability.</w:t>
      </w:r>
    </w:p>
    <w:p w14:paraId="102B1308" w14:textId="77777777" w:rsidR="008371CB" w:rsidRPr="008371CB" w:rsidRDefault="008371CB" w:rsidP="008371CB">
      <w:pPr>
        <w:rPr>
          <w:rFonts w:cs="Arial"/>
          <w:lang w:val="en-US"/>
        </w:rPr>
      </w:pPr>
      <w:r w:rsidRPr="008371CB">
        <w:rPr>
          <w:rFonts w:cs="Arial"/>
          <w:lang w:val="en-US"/>
        </w:rPr>
        <w:t>In reviewing the Customer Understanding outcome, the Board has considered whether the firm’s communications and interactions equip clients to make informed decisions throughout the client journey, including at onboarding, when recommendations are made, and during ongoing servicing. This assessment has taken into account the complexity of the products and services offered, the communication channels used, and the firm’s role in supporting understanding through one</w:t>
      </w:r>
      <w:r w:rsidRPr="008371CB">
        <w:rPr>
          <w:rFonts w:cs="Arial"/>
          <w:lang w:val="en-US"/>
        </w:rPr>
        <w:noBreakHyphen/>
        <w:t>to</w:t>
      </w:r>
      <w:r w:rsidRPr="008371CB">
        <w:rPr>
          <w:rFonts w:cs="Arial"/>
          <w:lang w:val="en-US"/>
        </w:rPr>
        <w:noBreakHyphen/>
        <w:t>one adviser interactions.</w:t>
      </w:r>
    </w:p>
    <w:p w14:paraId="5F85E369" w14:textId="27C9E3F5" w:rsidR="008371CB" w:rsidRPr="0079359A" w:rsidRDefault="008371CB" w:rsidP="008371CB">
      <w:pPr>
        <w:rPr>
          <w:rFonts w:cs="Arial"/>
          <w:lang w:val="en-US"/>
        </w:rPr>
      </w:pPr>
      <w:r w:rsidRPr="008371CB">
        <w:rPr>
          <w:rFonts w:cs="Arial"/>
          <w:lang w:val="en-US"/>
        </w:rPr>
        <w:t xml:space="preserve">The commentary below </w:t>
      </w:r>
      <w:proofErr w:type="spellStart"/>
      <w:r w:rsidRPr="008371CB">
        <w:rPr>
          <w:rFonts w:cs="Arial"/>
          <w:lang w:val="en-US"/>
        </w:rPr>
        <w:t>summarises</w:t>
      </w:r>
      <w:proofErr w:type="spellEnd"/>
      <w:r w:rsidRPr="008371CB">
        <w:rPr>
          <w:rFonts w:cs="Arial"/>
          <w:lang w:val="en-US"/>
        </w:rPr>
        <w:t xml:space="preserve"> the work undertaken during the period 1 August 2025 to 31 July 2026 and the evidence relied upon by the Board in assessing whether customers are consistently supported to understand our services, costs and recommendations, and whether any risks of poor understanding have been identified.</w:t>
      </w:r>
    </w:p>
    <w:p w14:paraId="04410964" w14:textId="77777777" w:rsidR="00B62D46" w:rsidRPr="006B3FD0" w:rsidRDefault="00B62D46" w:rsidP="00B62D46">
      <w:pPr>
        <w:rPr>
          <w:rFonts w:cs="Arial"/>
          <w:b/>
          <w:bCs/>
          <w:lang w:val="en-US"/>
        </w:rPr>
      </w:pPr>
      <w:r w:rsidRPr="006B3FD0">
        <w:rPr>
          <w:rFonts w:cs="Arial"/>
          <w:b/>
          <w:bCs/>
          <w:lang w:val="en-US"/>
        </w:rPr>
        <w:t>Action Taken / Firm Approach</w:t>
      </w:r>
    </w:p>
    <w:p w14:paraId="4E11E1FF" w14:textId="77777777" w:rsidR="00B62D46" w:rsidRPr="006B3FD0" w:rsidRDefault="00B62D46" w:rsidP="00B62D46">
      <w:pPr>
        <w:rPr>
          <w:rFonts w:cs="Arial"/>
          <w:b/>
          <w:bCs/>
          <w:lang w:val="en-US"/>
        </w:rPr>
      </w:pPr>
      <w:r w:rsidRPr="006B3FD0">
        <w:rPr>
          <w:rFonts w:cs="Arial"/>
          <w:b/>
          <w:bCs/>
          <w:lang w:val="en-US"/>
        </w:rPr>
        <w:t>Comments</w:t>
      </w:r>
    </w:p>
    <w:p w14:paraId="0D1F159A" w14:textId="77777777" w:rsidR="00694A55" w:rsidRPr="009A760F" w:rsidRDefault="00694A55" w:rsidP="00694A55">
      <w:pPr>
        <w:rPr>
          <w:rFonts w:cs="Arial"/>
          <w:lang w:val="en-US"/>
        </w:rPr>
      </w:pPr>
      <w:r w:rsidRPr="009A760F">
        <w:rPr>
          <w:rFonts w:cs="Arial"/>
          <w:highlight w:val="yellow"/>
          <w:lang w:val="en-US"/>
        </w:rPr>
        <w:t>During the reporting period, the firm undertook a review of a range of client</w:t>
      </w:r>
      <w:r w:rsidRPr="009A760F">
        <w:rPr>
          <w:rFonts w:cs="Arial"/>
          <w:highlight w:val="yellow"/>
          <w:lang w:val="en-US"/>
        </w:rPr>
        <w:noBreakHyphen/>
        <w:t>facing documents to assess whether they continue to support customer understanding across the client journey. This included initial disclosures, ongoing service documentation and suitability reports.</w:t>
      </w:r>
    </w:p>
    <w:p w14:paraId="7C8C7BC0" w14:textId="77777777" w:rsidR="00694A55" w:rsidRPr="00CF529A" w:rsidRDefault="00694A55" w:rsidP="00694A55">
      <w:pPr>
        <w:rPr>
          <w:rFonts w:cs="Arial"/>
          <w:color w:val="C00000"/>
          <w:lang w:val="en-US"/>
        </w:rPr>
      </w:pPr>
    </w:p>
    <w:p w14:paraId="3474678B" w14:textId="77777777" w:rsidR="00694A55" w:rsidRPr="009A760F" w:rsidRDefault="00694A55" w:rsidP="00694A55">
      <w:pPr>
        <w:rPr>
          <w:rFonts w:cs="Arial"/>
          <w:highlight w:val="yellow"/>
          <w:lang w:val="en-US"/>
        </w:rPr>
      </w:pPr>
      <w:r w:rsidRPr="009A760F">
        <w:rPr>
          <w:rFonts w:cs="Arial"/>
          <w:highlight w:val="yellow"/>
          <w:lang w:val="en-US"/>
        </w:rPr>
        <w:lastRenderedPageBreak/>
        <w:t>Where changes were made, these were primarily aimed at improving clarity, reducing unnecessary technical language and presenting key information in a clearer and more structured way. For example, revisions were made to the way tax</w:t>
      </w:r>
      <w:r w:rsidRPr="009A760F">
        <w:rPr>
          <w:rFonts w:cs="Arial"/>
          <w:highlight w:val="yellow"/>
          <w:lang w:val="en-US"/>
        </w:rPr>
        <w:noBreakHyphen/>
        <w:t>year</w:t>
      </w:r>
      <w:r w:rsidRPr="009A760F">
        <w:rPr>
          <w:rFonts w:cs="Arial"/>
          <w:highlight w:val="yellow"/>
          <w:lang w:val="en-US"/>
        </w:rPr>
        <w:noBreakHyphen/>
        <w:t>specific information is presented within suitability reports to improve readability and comprehension.</w:t>
      </w:r>
    </w:p>
    <w:p w14:paraId="70B4FD76" w14:textId="77777777" w:rsidR="00694A55" w:rsidRPr="009A760F" w:rsidRDefault="00694A55" w:rsidP="00694A55">
      <w:pPr>
        <w:rPr>
          <w:rFonts w:cs="Arial"/>
          <w:highlight w:val="yellow"/>
          <w:lang w:val="en-US"/>
        </w:rPr>
      </w:pPr>
      <w:r w:rsidRPr="009A760F">
        <w:rPr>
          <w:rFonts w:cs="Arial"/>
          <w:highlight w:val="yellow"/>
          <w:lang w:val="en-US"/>
        </w:rPr>
        <w:t>Changes to documentation were assessed internally prior to implementation, using feedback from advisers and operational staff to test whether communications were clear, proportionate and likely to be understood by the firm’s typical client base. This internal testing was considered appropriate given the nature of the firm’s client relationships and ongoing adviser interaction.</w:t>
      </w:r>
    </w:p>
    <w:p w14:paraId="6A6C7A05" w14:textId="77777777" w:rsidR="00694A55" w:rsidRPr="009A760F" w:rsidRDefault="00694A55" w:rsidP="00694A55">
      <w:pPr>
        <w:rPr>
          <w:rFonts w:cs="Arial"/>
          <w:highlight w:val="yellow"/>
          <w:lang w:val="en-US"/>
        </w:rPr>
      </w:pPr>
      <w:r w:rsidRPr="009A760F">
        <w:rPr>
          <w:rFonts w:cs="Arial"/>
          <w:highlight w:val="yellow"/>
          <w:lang w:val="en-US"/>
        </w:rPr>
        <w:t>Advisers/Investment Managers are required to confirm client understanding during meetings before advice/instruction is implemented. Evidence of this is captured through meeting notes, follow</w:t>
      </w:r>
      <w:r w:rsidRPr="009A760F">
        <w:rPr>
          <w:rFonts w:cs="Arial"/>
          <w:highlight w:val="yellow"/>
          <w:lang w:val="en-US"/>
        </w:rPr>
        <w:noBreakHyphen/>
        <w:t>up correspondence and ongoing client communications. During the period, feedback from client meetings, telephone discussions and email correspondence indicates that clients are able to articulate their understanding of advice, costs and next steps.</w:t>
      </w:r>
    </w:p>
    <w:p w14:paraId="5E921038" w14:textId="77777777" w:rsidR="00694A55" w:rsidRPr="009A760F" w:rsidRDefault="00694A55" w:rsidP="00694A55">
      <w:pPr>
        <w:rPr>
          <w:rFonts w:cs="Arial"/>
          <w:lang w:val="en-US"/>
        </w:rPr>
      </w:pPr>
      <w:r w:rsidRPr="009A760F">
        <w:rPr>
          <w:rFonts w:cs="Arial"/>
          <w:highlight w:val="yellow"/>
          <w:lang w:val="en-US"/>
        </w:rPr>
        <w:t xml:space="preserve">The firm </w:t>
      </w:r>
      <w:proofErr w:type="spellStart"/>
      <w:r w:rsidRPr="009A760F">
        <w:rPr>
          <w:rFonts w:cs="Arial"/>
          <w:highlight w:val="yellow"/>
          <w:lang w:val="en-US"/>
        </w:rPr>
        <w:t>recognises</w:t>
      </w:r>
      <w:proofErr w:type="spellEnd"/>
      <w:r w:rsidRPr="009A760F">
        <w:rPr>
          <w:rFonts w:cs="Arial"/>
          <w:highlight w:val="yellow"/>
          <w:lang w:val="en-US"/>
        </w:rPr>
        <w:t xml:space="preserve"> the importance of embedding this further and, during 2026, intends to enhance how client understanding is evidenced, including greater use of clients’ own words within meeting notes and clearer confirmation of understanding retained on file.</w:t>
      </w:r>
    </w:p>
    <w:p w14:paraId="24851E98" w14:textId="77777777" w:rsidR="00694A55" w:rsidRPr="009A760F" w:rsidRDefault="00694A55" w:rsidP="00694A55">
      <w:pPr>
        <w:rPr>
          <w:rFonts w:cs="Arial"/>
          <w:u w:val="single"/>
        </w:rPr>
      </w:pPr>
      <w:r w:rsidRPr="009A760F">
        <w:rPr>
          <w:rFonts w:cs="Arial"/>
          <w:u w:val="single"/>
        </w:rPr>
        <w:t>Client Feedback and Learning</w:t>
      </w:r>
    </w:p>
    <w:p w14:paraId="21F3766D" w14:textId="77777777" w:rsidR="00694A55" w:rsidRPr="009A760F" w:rsidRDefault="00694A55" w:rsidP="00694A55">
      <w:pPr>
        <w:rPr>
          <w:rFonts w:cs="Arial"/>
          <w:highlight w:val="yellow"/>
          <w:lang w:val="en-US"/>
        </w:rPr>
      </w:pPr>
      <w:r w:rsidRPr="009A760F">
        <w:rPr>
          <w:rFonts w:cs="Arial"/>
          <w:highlight w:val="yellow"/>
          <w:lang w:val="en-US"/>
        </w:rPr>
        <w:t>Client and staff feedback received during the period has been reviewed as part of the firm’s assessment of customer understanding. Where appropriate, feedback has informed refinements to processes and documentation. For example, best practice shared internally has influenced how the attitude to risk questionnaire is explained and discussed with clients, helping to ensure that key concepts are properly understood rather than treated as a purely procedural step.</w:t>
      </w:r>
    </w:p>
    <w:p w14:paraId="1412F8D6" w14:textId="77777777" w:rsidR="00694A55" w:rsidRPr="009A760F" w:rsidRDefault="00694A55" w:rsidP="00694A55">
      <w:pPr>
        <w:rPr>
          <w:rFonts w:cs="Arial"/>
          <w:lang w:val="en-US"/>
        </w:rPr>
      </w:pPr>
      <w:r w:rsidRPr="009A760F">
        <w:rPr>
          <w:rFonts w:cs="Arial"/>
          <w:highlight w:val="yellow"/>
          <w:lang w:val="en-US"/>
        </w:rPr>
        <w:t>No themes have been identified suggesting widespread misunderstanding of services, fees or advice. Where isolated questions or areas of confusion have arisen, these have been addressed on a case</w:t>
      </w:r>
      <w:r w:rsidRPr="009A760F">
        <w:rPr>
          <w:rFonts w:cs="Arial"/>
          <w:highlight w:val="yellow"/>
          <w:lang w:val="en-US"/>
        </w:rPr>
        <w:noBreakHyphen/>
        <w:t>by</w:t>
      </w:r>
      <w:r w:rsidRPr="009A760F">
        <w:rPr>
          <w:rFonts w:cs="Arial"/>
          <w:highlight w:val="yellow"/>
          <w:lang w:val="en-US"/>
        </w:rPr>
        <w:noBreakHyphen/>
        <w:t>case basis.</w:t>
      </w:r>
    </w:p>
    <w:p w14:paraId="36E0D6ED" w14:textId="77777777" w:rsidR="00694A55" w:rsidRPr="009A760F" w:rsidRDefault="00694A55" w:rsidP="00694A55">
      <w:pPr>
        <w:rPr>
          <w:rFonts w:cs="Arial"/>
          <w:u w:val="single"/>
        </w:rPr>
      </w:pPr>
      <w:r w:rsidRPr="009A760F">
        <w:rPr>
          <w:rFonts w:cs="Arial"/>
          <w:u w:val="single"/>
        </w:rPr>
        <w:t>Process Improvements and Vulnerability</w:t>
      </w:r>
    </w:p>
    <w:p w14:paraId="6AA209E0" w14:textId="77777777" w:rsidR="00694A55" w:rsidRPr="009A760F" w:rsidRDefault="00694A55" w:rsidP="00694A55">
      <w:pPr>
        <w:rPr>
          <w:rFonts w:cs="Arial"/>
          <w:lang w:val="en-US"/>
        </w:rPr>
      </w:pPr>
      <w:r w:rsidRPr="009A760F">
        <w:rPr>
          <w:rFonts w:cs="Arial"/>
          <w:highlight w:val="yellow"/>
          <w:lang w:val="en-US"/>
        </w:rPr>
        <w:t>The firm has continued to assess whether changes to the client journey could better support engagement and understanding, particularly for clients with characteristics of vulnerability or where advice is more complex. Communication methods and levels of detail are adapted where appropriate, and advisers are encouraged to take additional time to check understanding where required.</w:t>
      </w:r>
    </w:p>
    <w:p w14:paraId="6561D706" w14:textId="77777777" w:rsidR="00694A55" w:rsidRPr="00CF529A" w:rsidRDefault="00694A55" w:rsidP="00694A55">
      <w:pPr>
        <w:rPr>
          <w:rFonts w:cs="Arial"/>
          <w:b/>
          <w:bCs/>
          <w:lang w:val="en-US"/>
        </w:rPr>
      </w:pPr>
      <w:r w:rsidRPr="00CF529A">
        <w:rPr>
          <w:rFonts w:cs="Arial"/>
          <w:b/>
          <w:bCs/>
          <w:lang w:val="en-US"/>
        </w:rPr>
        <w:t>Board Conclusion – Customer Understanding</w:t>
      </w:r>
    </w:p>
    <w:p w14:paraId="7582FCA9" w14:textId="2E96BCC4" w:rsidR="00694A55" w:rsidRDefault="00694A55" w:rsidP="00694A55">
      <w:pPr>
        <w:rPr>
          <w:rFonts w:cs="Arial"/>
          <w:lang w:val="en-US"/>
        </w:rPr>
      </w:pPr>
      <w:r w:rsidRPr="009A760F">
        <w:rPr>
          <w:rFonts w:cs="Arial"/>
          <w:lang w:val="en-US"/>
        </w:rPr>
        <w:t>Based on the review of communications, adviser practices, internal testing, client feedback and ongoing monitoring, the Board is satisfied that customers are being provided with information that is clear, timely and appropriate to their needs and circumstances, and that the firm’s approach supports informed decision</w:t>
      </w:r>
      <w:r w:rsidRPr="009A760F">
        <w:rPr>
          <w:rFonts w:cs="Arial"/>
          <w:lang w:val="en-US"/>
        </w:rPr>
        <w:noBreakHyphen/>
        <w:t>making and good customer outcomes.</w:t>
      </w:r>
    </w:p>
    <w:p w14:paraId="5C070AF0" w14:textId="77777777" w:rsidR="009A760F" w:rsidRDefault="009A760F" w:rsidP="00694A55">
      <w:pPr>
        <w:rPr>
          <w:rFonts w:cs="Arial"/>
          <w:lang w:val="en-US"/>
        </w:rPr>
      </w:pPr>
    </w:p>
    <w:p w14:paraId="27566715" w14:textId="77777777" w:rsidR="009A760F" w:rsidRPr="009A760F" w:rsidRDefault="009A760F" w:rsidP="00694A55">
      <w:pPr>
        <w:rPr>
          <w:rFonts w:cs="Arial"/>
          <w:lang w:val="en-US"/>
        </w:rPr>
      </w:pPr>
    </w:p>
    <w:p w14:paraId="15BF50BB" w14:textId="77777777" w:rsidR="00B62D46" w:rsidRPr="006B3FD0" w:rsidRDefault="00B62D46" w:rsidP="00B62D46">
      <w:pPr>
        <w:rPr>
          <w:rFonts w:cs="Arial"/>
          <w:b/>
          <w:bCs/>
          <w:lang w:val="en-US"/>
        </w:rPr>
      </w:pPr>
      <w:r w:rsidRPr="006B3FD0">
        <w:rPr>
          <w:rFonts w:cs="Arial"/>
          <w:b/>
          <w:bCs/>
          <w:lang w:val="en-US"/>
        </w:rPr>
        <w:lastRenderedPageBreak/>
        <w:t>Further Actions Required</w:t>
      </w:r>
    </w:p>
    <w:tbl>
      <w:tblPr>
        <w:tblStyle w:val="TableGrid"/>
        <w:tblW w:w="9064" w:type="dxa"/>
        <w:tblLook w:val="04A0" w:firstRow="1" w:lastRow="0" w:firstColumn="1" w:lastColumn="0" w:noHBand="0" w:noVBand="1"/>
      </w:tblPr>
      <w:tblGrid>
        <w:gridCol w:w="4390"/>
        <w:gridCol w:w="1668"/>
        <w:gridCol w:w="3006"/>
      </w:tblGrid>
      <w:tr w:rsidR="00F36AD2" w:rsidRPr="006B3FD0" w14:paraId="45121BCF" w14:textId="77777777" w:rsidTr="00857D84">
        <w:tc>
          <w:tcPr>
            <w:tcW w:w="4390" w:type="dxa"/>
            <w:shd w:val="clear" w:color="auto" w:fill="E7E6E6" w:themeFill="background2"/>
          </w:tcPr>
          <w:p w14:paraId="5645BEAD"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Action Identified</w:t>
            </w:r>
          </w:p>
        </w:tc>
        <w:tc>
          <w:tcPr>
            <w:tcW w:w="1668" w:type="dxa"/>
            <w:shd w:val="clear" w:color="auto" w:fill="E7E6E6" w:themeFill="background2"/>
          </w:tcPr>
          <w:p w14:paraId="4CB0C6B1"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Action Owner</w:t>
            </w:r>
          </w:p>
        </w:tc>
        <w:tc>
          <w:tcPr>
            <w:tcW w:w="3006" w:type="dxa"/>
            <w:shd w:val="clear" w:color="auto" w:fill="E7E6E6" w:themeFill="background2"/>
          </w:tcPr>
          <w:p w14:paraId="34C357F5"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Timeframe for completion</w:t>
            </w:r>
          </w:p>
        </w:tc>
      </w:tr>
      <w:tr w:rsidR="00F36AD2" w:rsidRPr="006B3FD0" w14:paraId="7059F913" w14:textId="77777777" w:rsidTr="00857D84">
        <w:tc>
          <w:tcPr>
            <w:tcW w:w="4390" w:type="dxa"/>
          </w:tcPr>
          <w:p w14:paraId="62C1AAD1" w14:textId="77777777" w:rsidR="00F36AD2" w:rsidRPr="006B3FD0" w:rsidRDefault="00F36AD2" w:rsidP="00857D84">
            <w:pPr>
              <w:spacing w:after="160" w:line="259" w:lineRule="auto"/>
              <w:rPr>
                <w:rFonts w:cs="Arial"/>
                <w:szCs w:val="22"/>
                <w:lang w:bidi="en-US"/>
              </w:rPr>
            </w:pPr>
          </w:p>
        </w:tc>
        <w:tc>
          <w:tcPr>
            <w:tcW w:w="1668" w:type="dxa"/>
          </w:tcPr>
          <w:p w14:paraId="3AC2ECDE" w14:textId="77777777" w:rsidR="00F36AD2" w:rsidRPr="006B3FD0" w:rsidRDefault="00F36AD2" w:rsidP="00857D84">
            <w:pPr>
              <w:spacing w:after="160" w:line="259" w:lineRule="auto"/>
              <w:rPr>
                <w:rFonts w:cs="Arial"/>
                <w:szCs w:val="22"/>
                <w:lang w:bidi="en-US"/>
              </w:rPr>
            </w:pPr>
          </w:p>
        </w:tc>
        <w:tc>
          <w:tcPr>
            <w:tcW w:w="3006" w:type="dxa"/>
          </w:tcPr>
          <w:p w14:paraId="6305CB6D" w14:textId="77777777" w:rsidR="00F36AD2" w:rsidRPr="006B3FD0" w:rsidRDefault="00F36AD2" w:rsidP="00857D84">
            <w:pPr>
              <w:spacing w:after="160" w:line="259" w:lineRule="auto"/>
              <w:rPr>
                <w:rFonts w:cs="Arial"/>
                <w:szCs w:val="22"/>
                <w:lang w:bidi="en-US"/>
              </w:rPr>
            </w:pPr>
          </w:p>
        </w:tc>
      </w:tr>
    </w:tbl>
    <w:p w14:paraId="11023E67" w14:textId="77777777" w:rsidR="00694A55" w:rsidRDefault="00694A55" w:rsidP="008D29BD">
      <w:pPr>
        <w:pStyle w:val="Heading1"/>
        <w:rPr>
          <w:rFonts w:ascii="Arial" w:hAnsi="Arial"/>
        </w:rPr>
      </w:pPr>
    </w:p>
    <w:p w14:paraId="2C534C3F" w14:textId="06A20764" w:rsidR="00B62D46" w:rsidRPr="006B3FD0" w:rsidRDefault="00B62D46" w:rsidP="008D29BD">
      <w:pPr>
        <w:pStyle w:val="Heading1"/>
        <w:rPr>
          <w:rFonts w:ascii="Arial" w:hAnsi="Arial"/>
        </w:rPr>
      </w:pPr>
      <w:r w:rsidRPr="006B3FD0">
        <w:rPr>
          <w:rFonts w:ascii="Arial" w:hAnsi="Arial"/>
        </w:rPr>
        <w:t>The Consumer Support Outcome</w:t>
      </w:r>
    </w:p>
    <w:p w14:paraId="374CFBE3" w14:textId="77777777" w:rsidR="00167D64" w:rsidRPr="00167D64" w:rsidRDefault="00167D64" w:rsidP="00167D64">
      <w:pPr>
        <w:rPr>
          <w:rFonts w:cs="Arial"/>
          <w:bCs/>
          <w:lang w:val="en-US"/>
        </w:rPr>
      </w:pPr>
      <w:bookmarkStart w:id="2" w:name="_Toc114560525"/>
      <w:r w:rsidRPr="00167D64">
        <w:rPr>
          <w:rFonts w:cs="Arial"/>
          <w:bCs/>
          <w:lang w:val="en-US"/>
        </w:rPr>
        <w:t>Under the Consumer Duty, the Board is required to assess whether customers receive support that enables them to use the firm’s products and services as intended, without unreasonable barriers, delay or detriment. A product or service that customers cannot readily access, understand or benefit from is unlikely to deliver fair value.</w:t>
      </w:r>
    </w:p>
    <w:p w14:paraId="1F680AC2" w14:textId="77777777" w:rsidR="00167D64" w:rsidRPr="00167D64" w:rsidRDefault="00167D64" w:rsidP="00167D64">
      <w:pPr>
        <w:rPr>
          <w:rFonts w:cs="Arial"/>
          <w:bCs/>
          <w:lang w:val="en-US"/>
        </w:rPr>
      </w:pPr>
      <w:r w:rsidRPr="00167D64">
        <w:rPr>
          <w:rFonts w:cs="Arial"/>
          <w:bCs/>
          <w:lang w:val="en-US"/>
        </w:rPr>
        <w:t>In considering the Customer Support outcome, the Board has assessed whether the firm’s support arrangements are accessible, timely and effective across the customer lifecycle, including during onboarding, ongoing servicing and where clients require additional assistance. This includes consideration of how the firm identifies and supports customers with characteristics of vulnerability and whether support processes avoid causing foreseeable harm.</w:t>
      </w:r>
    </w:p>
    <w:p w14:paraId="75717F67" w14:textId="59400317" w:rsidR="00167D64" w:rsidRPr="00F1695B" w:rsidRDefault="00167D64" w:rsidP="00167D64">
      <w:pPr>
        <w:rPr>
          <w:rFonts w:cs="Arial"/>
          <w:bCs/>
          <w:lang w:val="en-US"/>
        </w:rPr>
      </w:pPr>
      <w:r w:rsidRPr="00167D64">
        <w:rPr>
          <w:rFonts w:cs="Arial"/>
          <w:bCs/>
          <w:lang w:val="en-US"/>
        </w:rPr>
        <w:t xml:space="preserve">The commentary below </w:t>
      </w:r>
      <w:proofErr w:type="spellStart"/>
      <w:r w:rsidRPr="00167D64">
        <w:rPr>
          <w:rFonts w:cs="Arial"/>
          <w:bCs/>
          <w:lang w:val="en-US"/>
        </w:rPr>
        <w:t>summarises</w:t>
      </w:r>
      <w:proofErr w:type="spellEnd"/>
      <w:r w:rsidRPr="00167D64">
        <w:rPr>
          <w:rFonts w:cs="Arial"/>
          <w:bCs/>
          <w:lang w:val="en-US"/>
        </w:rPr>
        <w:t xml:space="preserve"> the firm’s support arrangements, the management information reviewed during the period 1 August 2025 to 31 July 2026, and the Board’s conclusions on whether customers are receiving appropriate and proportionate support to pursue their financial objectives.</w:t>
      </w:r>
    </w:p>
    <w:p w14:paraId="61F73EA7" w14:textId="77777777" w:rsidR="00B62D46" w:rsidRPr="006B3FD0" w:rsidRDefault="00B62D46" w:rsidP="00B62D46">
      <w:pPr>
        <w:rPr>
          <w:rFonts w:cs="Arial"/>
          <w:b/>
          <w:bCs/>
          <w:lang w:val="en-US"/>
        </w:rPr>
      </w:pPr>
      <w:r w:rsidRPr="006B3FD0">
        <w:rPr>
          <w:rFonts w:cs="Arial"/>
          <w:b/>
          <w:bCs/>
          <w:lang w:val="en-US"/>
        </w:rPr>
        <w:t>Action Taken / Firm Approach</w:t>
      </w:r>
    </w:p>
    <w:p w14:paraId="652B6621" w14:textId="77777777" w:rsidR="00B62D46" w:rsidRPr="006B3FD0" w:rsidRDefault="00B62D46" w:rsidP="00B62D46">
      <w:pPr>
        <w:rPr>
          <w:rFonts w:cs="Arial"/>
          <w:b/>
          <w:bCs/>
          <w:lang w:val="en-US"/>
        </w:rPr>
      </w:pPr>
      <w:r w:rsidRPr="006B3FD0">
        <w:rPr>
          <w:rFonts w:cs="Arial"/>
          <w:b/>
          <w:bCs/>
          <w:lang w:val="en-US"/>
        </w:rPr>
        <w:t>Comments</w:t>
      </w:r>
    </w:p>
    <w:p w14:paraId="7958BA9C" w14:textId="77777777" w:rsidR="00BB5EB0" w:rsidRPr="006B3FD0" w:rsidRDefault="00BB5EB0" w:rsidP="00BB5EB0">
      <w:pPr>
        <w:rPr>
          <w:rFonts w:cs="Arial"/>
          <w:bCs/>
          <w:u w:val="single"/>
        </w:rPr>
      </w:pPr>
      <w:r w:rsidRPr="006B3FD0">
        <w:rPr>
          <w:rFonts w:cs="Arial"/>
          <w:bCs/>
          <w:u w:val="single"/>
        </w:rPr>
        <w:t>Vulnerable clients</w:t>
      </w:r>
    </w:p>
    <w:p w14:paraId="57629715" w14:textId="77777777" w:rsidR="00DB388C" w:rsidRPr="00DB388C" w:rsidRDefault="00DB388C" w:rsidP="00DB388C">
      <w:pPr>
        <w:rPr>
          <w:rFonts w:cs="Arial"/>
          <w:bCs/>
          <w:color w:val="000000" w:themeColor="text1"/>
          <w:szCs w:val="22"/>
          <w:lang w:val="en-US" w:eastAsia="en-GB"/>
        </w:rPr>
      </w:pPr>
      <w:r w:rsidRPr="00DB388C">
        <w:rPr>
          <w:rFonts w:cs="Arial"/>
          <w:bCs/>
          <w:color w:val="000000" w:themeColor="text1"/>
          <w:szCs w:val="22"/>
          <w:lang w:val="en-US" w:eastAsia="en-GB"/>
        </w:rPr>
        <w:t xml:space="preserve">The firm </w:t>
      </w:r>
      <w:proofErr w:type="spellStart"/>
      <w:r w:rsidRPr="00DB388C">
        <w:rPr>
          <w:rFonts w:cs="Arial"/>
          <w:bCs/>
          <w:color w:val="000000" w:themeColor="text1"/>
          <w:szCs w:val="22"/>
          <w:lang w:val="en-US" w:eastAsia="en-GB"/>
        </w:rPr>
        <w:t>recognises</w:t>
      </w:r>
      <w:proofErr w:type="spellEnd"/>
      <w:r w:rsidRPr="00DB388C">
        <w:rPr>
          <w:rFonts w:cs="Arial"/>
          <w:bCs/>
          <w:color w:val="000000" w:themeColor="text1"/>
          <w:szCs w:val="22"/>
          <w:lang w:val="en-US" w:eastAsia="en-GB"/>
        </w:rPr>
        <w:t xml:space="preserve"> that vulnerability may be transient or long</w:t>
      </w:r>
      <w:r w:rsidRPr="00DB388C">
        <w:rPr>
          <w:rFonts w:cs="Arial"/>
          <w:bCs/>
          <w:color w:val="000000" w:themeColor="text1"/>
          <w:szCs w:val="22"/>
          <w:lang w:val="en-US" w:eastAsia="en-GB"/>
        </w:rPr>
        <w:noBreakHyphen/>
        <w:t>term and that indicators may present differently depending on an individual’s circumstances and the stage of the advice process. In line with FCA guidance, the firm considers vulnerability drivers across health, life events, resilience and capability.</w:t>
      </w:r>
    </w:p>
    <w:p w14:paraId="7C4AF6CA" w14:textId="77777777" w:rsidR="00DB388C" w:rsidRPr="00DB388C" w:rsidRDefault="00DB388C" w:rsidP="00DB388C">
      <w:pPr>
        <w:rPr>
          <w:rFonts w:cs="Arial"/>
          <w:bCs/>
          <w:color w:val="000000" w:themeColor="text1"/>
          <w:szCs w:val="22"/>
          <w:lang w:val="en-US" w:eastAsia="en-GB"/>
        </w:rPr>
      </w:pPr>
      <w:r w:rsidRPr="00DB388C">
        <w:rPr>
          <w:rFonts w:cs="Arial"/>
          <w:bCs/>
          <w:color w:val="000000" w:themeColor="text1"/>
          <w:szCs w:val="22"/>
          <w:lang w:val="en-US" w:eastAsia="en-GB"/>
        </w:rPr>
        <w:t>Over the last two years, training and internal awareness have been enhanced to support staff in identifying vulnerability at appropriate points during the client journey. Staff understand that some indicators may be immediately apparent, while others may only emerge through ongoing interaction.</w:t>
      </w:r>
    </w:p>
    <w:p w14:paraId="48EC283C" w14:textId="77777777" w:rsidR="00DB388C" w:rsidRDefault="00DB388C" w:rsidP="00BB5EB0">
      <w:pPr>
        <w:rPr>
          <w:rFonts w:cs="Arial"/>
          <w:bCs/>
          <w:color w:val="000000" w:themeColor="text1"/>
          <w:szCs w:val="22"/>
          <w:lang w:val="en-US" w:eastAsia="en-GB"/>
        </w:rPr>
      </w:pPr>
      <w:r w:rsidRPr="00DB388C">
        <w:rPr>
          <w:rFonts w:cs="Arial"/>
          <w:bCs/>
          <w:color w:val="000000" w:themeColor="text1"/>
          <w:szCs w:val="22"/>
          <w:lang w:val="en-US" w:eastAsia="en-GB"/>
        </w:rPr>
        <w:t xml:space="preserve">During the review period, </w:t>
      </w:r>
      <w:r w:rsidRPr="00DB388C">
        <w:rPr>
          <w:rFonts w:cs="Arial"/>
          <w:bCs/>
          <w:color w:val="EE0000"/>
          <w:szCs w:val="22"/>
          <w:lang w:val="en-US" w:eastAsia="en-GB"/>
        </w:rPr>
        <w:t>X</w:t>
      </w:r>
      <w:r w:rsidRPr="00DB388C">
        <w:rPr>
          <w:rFonts w:cs="Arial"/>
          <w:bCs/>
          <w:color w:val="000000" w:themeColor="text1"/>
          <w:szCs w:val="22"/>
          <w:lang w:val="en-US" w:eastAsia="en-GB"/>
        </w:rPr>
        <w:t xml:space="preserve"> clients were identified as potentially vulnerable, either by advisers or through escalation by administrators or paraplanners. In </w:t>
      </w:r>
      <w:r w:rsidRPr="009A760F">
        <w:rPr>
          <w:rFonts w:cs="Arial"/>
          <w:color w:val="EE0000"/>
          <w:szCs w:val="22"/>
          <w:lang w:val="en-US" w:eastAsia="en-GB"/>
        </w:rPr>
        <w:t>X</w:t>
      </w:r>
      <w:r w:rsidRPr="00DB388C">
        <w:rPr>
          <w:rFonts w:cs="Arial"/>
          <w:b/>
          <w:bCs/>
          <w:color w:val="EE0000"/>
          <w:szCs w:val="22"/>
          <w:lang w:val="en-US" w:eastAsia="en-GB"/>
        </w:rPr>
        <w:t xml:space="preserve"> </w:t>
      </w:r>
      <w:r w:rsidRPr="00DB388C">
        <w:rPr>
          <w:rFonts w:cs="Arial"/>
          <w:bCs/>
          <w:color w:val="000000" w:themeColor="text1"/>
          <w:szCs w:val="22"/>
          <w:lang w:val="en-US" w:eastAsia="en-GB"/>
        </w:rPr>
        <w:t>instances, the firm adapted its service delivery to ensure communications, meeting structures and support arrangements were appropriate to the client’s circumstances. These adaptations were designed to ensure clients were not disadvantaged and were able to engage fully with advice and ongoing service.</w:t>
      </w:r>
    </w:p>
    <w:p w14:paraId="556DF1FB" w14:textId="77777777" w:rsidR="009A760F" w:rsidRDefault="009A760F" w:rsidP="00BB5EB0">
      <w:pPr>
        <w:rPr>
          <w:rFonts w:cs="Arial"/>
          <w:bCs/>
          <w:color w:val="000000" w:themeColor="text1"/>
          <w:szCs w:val="22"/>
          <w:lang w:val="en-US" w:eastAsia="en-GB"/>
        </w:rPr>
      </w:pPr>
    </w:p>
    <w:p w14:paraId="08B37BB1" w14:textId="77777777" w:rsidR="009A760F" w:rsidRDefault="009A760F" w:rsidP="00BB5EB0">
      <w:pPr>
        <w:rPr>
          <w:rFonts w:cs="Arial"/>
          <w:bCs/>
          <w:color w:val="000000" w:themeColor="text1"/>
          <w:szCs w:val="22"/>
          <w:lang w:val="en-US" w:eastAsia="en-GB"/>
        </w:rPr>
      </w:pPr>
    </w:p>
    <w:p w14:paraId="6D2F0C4D" w14:textId="09EFA07A" w:rsidR="00BB5EB0" w:rsidRPr="00DB388C" w:rsidRDefault="00BB5EB0" w:rsidP="00BB5EB0">
      <w:pPr>
        <w:rPr>
          <w:rFonts w:cs="Arial"/>
          <w:bCs/>
          <w:color w:val="000000" w:themeColor="text1"/>
          <w:szCs w:val="22"/>
          <w:lang w:val="en-US" w:eastAsia="en-GB"/>
        </w:rPr>
      </w:pPr>
      <w:r w:rsidRPr="006B3FD0">
        <w:rPr>
          <w:rFonts w:cs="Arial"/>
          <w:bCs/>
          <w:u w:val="single"/>
        </w:rPr>
        <w:lastRenderedPageBreak/>
        <w:t>Evidencing good customer support</w:t>
      </w:r>
    </w:p>
    <w:p w14:paraId="58388E1B" w14:textId="77777777" w:rsidR="000B2710" w:rsidRPr="009A760F" w:rsidRDefault="000B2710" w:rsidP="000B2710">
      <w:pPr>
        <w:rPr>
          <w:rFonts w:cs="Arial"/>
          <w:highlight w:val="yellow"/>
          <w:lang w:val="en-US"/>
        </w:rPr>
      </w:pPr>
      <w:r w:rsidRPr="009A760F">
        <w:rPr>
          <w:rFonts w:cs="Arial"/>
          <w:highlight w:val="yellow"/>
          <w:lang w:val="en-US"/>
        </w:rPr>
        <w:t>Customer support effectiveness has been assessed using a combination of qualitative evidence and management information, including client feedback, service delivery outcomes and complaints data.</w:t>
      </w:r>
    </w:p>
    <w:p w14:paraId="0CB082EB" w14:textId="77777777" w:rsidR="000B2710" w:rsidRPr="009A760F" w:rsidRDefault="000B2710" w:rsidP="000B2710">
      <w:pPr>
        <w:rPr>
          <w:rFonts w:cs="Arial"/>
          <w:highlight w:val="yellow"/>
          <w:lang w:val="en-US"/>
        </w:rPr>
      </w:pPr>
      <w:r w:rsidRPr="009A760F">
        <w:rPr>
          <w:rFonts w:cs="Arial"/>
          <w:highlight w:val="yellow"/>
          <w:lang w:val="en-US"/>
        </w:rPr>
        <w:t>While formal customer support metrics remain limited, the firm has not identified any themes indicating barriers to access, unreasonable delay or poor support. Client feedback received during the period does not indicate dissatisfaction with accessibility or responsiveness, including for clients with characteristics of vulnerability.</w:t>
      </w:r>
    </w:p>
    <w:p w14:paraId="6A9B346E" w14:textId="77777777" w:rsidR="000B2710" w:rsidRPr="009A760F" w:rsidRDefault="000B2710" w:rsidP="000B2710">
      <w:pPr>
        <w:rPr>
          <w:rFonts w:cs="Arial"/>
          <w:lang w:val="en-US"/>
        </w:rPr>
      </w:pPr>
      <w:r w:rsidRPr="009A760F">
        <w:rPr>
          <w:rFonts w:cs="Arial"/>
          <w:highlight w:val="yellow"/>
          <w:lang w:val="en-US"/>
        </w:rPr>
        <w:t xml:space="preserve">The firm </w:t>
      </w:r>
      <w:proofErr w:type="spellStart"/>
      <w:r w:rsidRPr="009A760F">
        <w:rPr>
          <w:rFonts w:cs="Arial"/>
          <w:highlight w:val="yellow"/>
          <w:lang w:val="en-US"/>
        </w:rPr>
        <w:t>recognises</w:t>
      </w:r>
      <w:proofErr w:type="spellEnd"/>
      <w:r w:rsidRPr="009A760F">
        <w:rPr>
          <w:rFonts w:cs="Arial"/>
          <w:highlight w:val="yellow"/>
          <w:lang w:val="en-US"/>
        </w:rPr>
        <w:t xml:space="preserve"> the importance of strengthening MI in this area and will consider further enhancements over the next 12 months to better evidence response times, service requests and support outcomes.</w:t>
      </w:r>
    </w:p>
    <w:p w14:paraId="7123D8A7" w14:textId="77777777" w:rsidR="000F746F" w:rsidRPr="006B3FD0" w:rsidRDefault="000F746F" w:rsidP="000F746F">
      <w:pPr>
        <w:rPr>
          <w:rFonts w:cs="Arial"/>
          <w:u w:val="single"/>
          <w:lang w:val="en-US"/>
        </w:rPr>
      </w:pPr>
      <w:r>
        <w:rPr>
          <w:rFonts w:cs="Arial"/>
          <w:u w:val="single"/>
          <w:lang w:val="en-US"/>
        </w:rPr>
        <w:t>Staff Resources and Capability</w:t>
      </w:r>
    </w:p>
    <w:p w14:paraId="073B7941" w14:textId="77777777" w:rsidR="000F746F" w:rsidRPr="009A760F" w:rsidRDefault="000F746F" w:rsidP="000F746F">
      <w:pPr>
        <w:rPr>
          <w:rFonts w:cs="Arial"/>
          <w:lang w:val="en-US"/>
        </w:rPr>
      </w:pPr>
      <w:r w:rsidRPr="009A760F">
        <w:rPr>
          <w:rFonts w:cs="Arial"/>
          <w:lang w:val="en-US"/>
        </w:rPr>
        <w:t>The Board has considered whether staffing levels and skillsets remain appropriate to deliver good customer support on an ongoing basis. During the period, no material resourcing constraints were identified that would impair the firm’s ability to respond to client needs. Any relevant staff changes and planned capacity adjustments will continue to be monitored to ensure service levels are maintained.</w:t>
      </w:r>
    </w:p>
    <w:p w14:paraId="0FA76C63" w14:textId="77777777" w:rsidR="000F746F" w:rsidRPr="006B3FD0" w:rsidRDefault="000F746F" w:rsidP="000F746F">
      <w:pPr>
        <w:rPr>
          <w:rFonts w:cs="Arial"/>
          <w:u w:val="single"/>
          <w:lang w:val="en-US"/>
        </w:rPr>
      </w:pPr>
      <w:r w:rsidRPr="006B3FD0">
        <w:rPr>
          <w:rFonts w:cs="Arial"/>
          <w:u w:val="single"/>
          <w:lang w:val="en-US"/>
        </w:rPr>
        <w:t xml:space="preserve">Client </w:t>
      </w:r>
      <w:r>
        <w:rPr>
          <w:rFonts w:cs="Arial"/>
          <w:u w:val="single"/>
          <w:lang w:val="en-US"/>
        </w:rPr>
        <w:t>M</w:t>
      </w:r>
      <w:r w:rsidRPr="006B3FD0">
        <w:rPr>
          <w:rFonts w:cs="Arial"/>
          <w:u w:val="single"/>
          <w:lang w:val="en-US"/>
        </w:rPr>
        <w:t>etrics</w:t>
      </w:r>
      <w:r>
        <w:rPr>
          <w:rFonts w:cs="Arial"/>
          <w:u w:val="single"/>
          <w:lang w:val="en-US"/>
        </w:rPr>
        <w:t xml:space="preserve"> and Outcomes</w:t>
      </w:r>
    </w:p>
    <w:p w14:paraId="24F5C72A" w14:textId="77777777" w:rsidR="000F746F" w:rsidRPr="009A760F" w:rsidRDefault="000F746F" w:rsidP="000F746F">
      <w:pPr>
        <w:rPr>
          <w:rFonts w:cs="Arial"/>
          <w:highlight w:val="yellow"/>
          <w:lang w:val="en-US"/>
        </w:rPr>
      </w:pPr>
      <w:r w:rsidRPr="009A760F">
        <w:rPr>
          <w:rFonts w:cs="Arial"/>
          <w:highlight w:val="yellow"/>
          <w:lang w:val="en-US"/>
        </w:rPr>
        <w:t>Service standards are supported through timely responses to client requests and consistent adviser availability. During the review period:</w:t>
      </w:r>
    </w:p>
    <w:p w14:paraId="03E66EC1" w14:textId="77777777" w:rsidR="000F746F" w:rsidRPr="009A760F" w:rsidRDefault="000F746F" w:rsidP="000F746F">
      <w:pPr>
        <w:numPr>
          <w:ilvl w:val="0"/>
          <w:numId w:val="45"/>
        </w:numPr>
        <w:rPr>
          <w:rFonts w:cs="Arial"/>
          <w:color w:val="EE0000"/>
          <w:highlight w:val="yellow"/>
          <w:lang w:val="en-US"/>
        </w:rPr>
      </w:pPr>
      <w:r w:rsidRPr="009A760F">
        <w:rPr>
          <w:rFonts w:cs="Arial"/>
          <w:color w:val="EE0000"/>
          <w:highlight w:val="yellow"/>
          <w:lang w:val="en-US"/>
        </w:rPr>
        <w:t>Only one complaint was received.</w:t>
      </w:r>
    </w:p>
    <w:p w14:paraId="3A338315" w14:textId="77777777" w:rsidR="000F746F" w:rsidRPr="009A760F" w:rsidRDefault="000F746F" w:rsidP="000F746F">
      <w:pPr>
        <w:numPr>
          <w:ilvl w:val="0"/>
          <w:numId w:val="45"/>
        </w:numPr>
        <w:rPr>
          <w:rFonts w:cs="Arial"/>
          <w:highlight w:val="yellow"/>
          <w:lang w:val="en-US"/>
        </w:rPr>
      </w:pPr>
      <w:r w:rsidRPr="009A760F">
        <w:rPr>
          <w:rFonts w:cs="Arial"/>
          <w:highlight w:val="yellow"/>
          <w:lang w:val="en-US"/>
        </w:rPr>
        <w:t>No trends were identified indicating systemic support failures.</w:t>
      </w:r>
    </w:p>
    <w:p w14:paraId="65389378" w14:textId="77777777" w:rsidR="000F746F" w:rsidRPr="009A760F" w:rsidRDefault="000F746F" w:rsidP="000F746F">
      <w:pPr>
        <w:numPr>
          <w:ilvl w:val="0"/>
          <w:numId w:val="45"/>
        </w:numPr>
        <w:rPr>
          <w:rFonts w:cs="Arial"/>
          <w:highlight w:val="yellow"/>
          <w:lang w:val="en-US"/>
        </w:rPr>
      </w:pPr>
      <w:r w:rsidRPr="009A760F">
        <w:rPr>
          <w:rFonts w:cs="Arial"/>
          <w:highlight w:val="yellow"/>
          <w:lang w:val="en-US"/>
        </w:rPr>
        <w:t>Client retention and referral levels remain stable, reinforcing confidence in the firm’s support framework.</w:t>
      </w:r>
    </w:p>
    <w:p w14:paraId="467E5070" w14:textId="77777777" w:rsidR="000F746F" w:rsidRPr="009A760F" w:rsidRDefault="000F746F" w:rsidP="000F746F">
      <w:pPr>
        <w:rPr>
          <w:rFonts w:cs="Arial"/>
          <w:lang w:val="en-US"/>
        </w:rPr>
      </w:pPr>
      <w:r w:rsidRPr="009A760F">
        <w:rPr>
          <w:rFonts w:cs="Arial"/>
          <w:highlight w:val="yellow"/>
          <w:lang w:val="en-US"/>
        </w:rPr>
        <w:t>Where clients have exited the firm, root causes have been considered and no issues relating to poor customer support have been identified.</w:t>
      </w:r>
    </w:p>
    <w:p w14:paraId="4FDD95B5" w14:textId="77777777" w:rsidR="000F0DD0" w:rsidRPr="00BD2E67" w:rsidRDefault="008465D4" w:rsidP="000F0DD0">
      <w:pPr>
        <w:rPr>
          <w:rFonts w:cs="Arial"/>
          <w:b/>
          <w:bCs/>
          <w:color w:val="000000" w:themeColor="text1"/>
          <w:szCs w:val="22"/>
          <w:lang w:eastAsia="en-GB"/>
        </w:rPr>
      </w:pPr>
      <w:r w:rsidRPr="00BD2E67">
        <w:rPr>
          <w:rFonts w:cs="Arial"/>
          <w:b/>
          <w:bCs/>
          <w:color w:val="000000" w:themeColor="text1"/>
          <w:szCs w:val="22"/>
          <w:lang w:eastAsia="en-GB"/>
        </w:rPr>
        <w:t>Complaints Handling and Root Cause Analysis</w:t>
      </w:r>
    </w:p>
    <w:p w14:paraId="203FDF65" w14:textId="77777777" w:rsidR="00BD2E67" w:rsidRPr="00BD2E67" w:rsidRDefault="00BD2E67" w:rsidP="00BD2E67">
      <w:pPr>
        <w:rPr>
          <w:rFonts w:cs="Arial"/>
          <w:color w:val="000000" w:themeColor="text1"/>
          <w:szCs w:val="22"/>
          <w:lang w:val="en-US" w:eastAsia="en-GB"/>
        </w:rPr>
      </w:pPr>
      <w:r w:rsidRPr="00BD2E67">
        <w:rPr>
          <w:rFonts w:cs="Arial"/>
          <w:color w:val="000000" w:themeColor="text1"/>
          <w:szCs w:val="22"/>
          <w:lang w:val="en-US" w:eastAsia="en-GB"/>
        </w:rPr>
        <w:t>Following the FCA’s 2024 review into complaints handling and root cause analysis, the firm revised its complaints process to include explicit consideration of vulnerability. Where a complainant has characteristics of vulnerability, communication methods and timelines are adapted accordingly.</w:t>
      </w:r>
    </w:p>
    <w:p w14:paraId="4D69E95A" w14:textId="77777777" w:rsidR="00BD2E67" w:rsidRDefault="00BD2E67" w:rsidP="00BD2E67">
      <w:pPr>
        <w:rPr>
          <w:rFonts w:cs="Arial"/>
          <w:color w:val="000000" w:themeColor="text1"/>
          <w:szCs w:val="22"/>
          <w:lang w:val="en-US" w:eastAsia="en-GB"/>
        </w:rPr>
      </w:pPr>
      <w:r w:rsidRPr="00BD2E67">
        <w:rPr>
          <w:rFonts w:cs="Arial"/>
          <w:color w:val="000000" w:themeColor="text1"/>
          <w:szCs w:val="22"/>
          <w:lang w:val="en-US" w:eastAsia="en-GB"/>
        </w:rPr>
        <w:t>The firm has also enhanced its root cause analysis framework, moving beyond identifying individual issues to understanding underlying causes using a structured “5 Whys” approach. This enables the firm to identify whether complaints arise from process weaknesses, training needs or communication gaps and to implement appropriate remedial actions.</w:t>
      </w:r>
    </w:p>
    <w:p w14:paraId="20901679" w14:textId="77777777" w:rsidR="009A760F" w:rsidRDefault="009A760F" w:rsidP="00BD2E67">
      <w:pPr>
        <w:rPr>
          <w:rFonts w:cs="Arial"/>
          <w:color w:val="000000" w:themeColor="text1"/>
          <w:szCs w:val="22"/>
          <w:lang w:val="en-US" w:eastAsia="en-GB"/>
        </w:rPr>
      </w:pPr>
    </w:p>
    <w:p w14:paraId="687B6AE2" w14:textId="77777777" w:rsidR="009A760F" w:rsidRPr="00BD2E67" w:rsidRDefault="009A760F" w:rsidP="00BD2E67">
      <w:pPr>
        <w:rPr>
          <w:rFonts w:cs="Arial"/>
          <w:color w:val="000000" w:themeColor="text1"/>
          <w:szCs w:val="22"/>
          <w:lang w:val="en-US" w:eastAsia="en-GB"/>
        </w:rPr>
      </w:pPr>
    </w:p>
    <w:p w14:paraId="7329FC5B" w14:textId="77777777" w:rsidR="00BD2E67" w:rsidRPr="00BD2E67" w:rsidRDefault="00BD2E67" w:rsidP="00BD2E67">
      <w:pPr>
        <w:rPr>
          <w:rFonts w:cs="Arial"/>
          <w:color w:val="000000" w:themeColor="text1"/>
          <w:szCs w:val="22"/>
          <w:lang w:val="en-US" w:eastAsia="en-GB"/>
        </w:rPr>
      </w:pPr>
      <w:r w:rsidRPr="00BD2E67">
        <w:rPr>
          <w:rFonts w:cs="Arial"/>
          <w:color w:val="000000" w:themeColor="text1"/>
          <w:szCs w:val="22"/>
          <w:lang w:val="en-US" w:eastAsia="en-GB"/>
        </w:rPr>
        <w:lastRenderedPageBreak/>
        <w:t>During the review period:</w:t>
      </w:r>
    </w:p>
    <w:p w14:paraId="2CC32705" w14:textId="77777777" w:rsidR="00BD2E67" w:rsidRPr="00BD2E67" w:rsidRDefault="00BD2E67" w:rsidP="00BD2E67">
      <w:pPr>
        <w:numPr>
          <w:ilvl w:val="0"/>
          <w:numId w:val="46"/>
        </w:numPr>
        <w:rPr>
          <w:rFonts w:cs="Arial"/>
          <w:color w:val="000000" w:themeColor="text1"/>
          <w:szCs w:val="22"/>
          <w:lang w:val="en-US" w:eastAsia="en-GB"/>
        </w:rPr>
      </w:pPr>
      <w:r w:rsidRPr="00BD2E67">
        <w:rPr>
          <w:rFonts w:cs="Arial"/>
          <w:color w:val="000000" w:themeColor="text1"/>
          <w:szCs w:val="22"/>
          <w:lang w:val="en-US" w:eastAsia="en-GB"/>
        </w:rPr>
        <w:t xml:space="preserve">Number of complaints: </w:t>
      </w:r>
      <w:r w:rsidRPr="009A760F">
        <w:rPr>
          <w:rFonts w:cs="Arial"/>
          <w:color w:val="EE0000"/>
          <w:szCs w:val="22"/>
          <w:lang w:val="en-US" w:eastAsia="en-GB"/>
        </w:rPr>
        <w:t>X</w:t>
      </w:r>
    </w:p>
    <w:p w14:paraId="55BCBD50" w14:textId="05058A97" w:rsidR="00BD2E67" w:rsidRPr="00BD2E67" w:rsidRDefault="00BD2E67" w:rsidP="00BD2E67">
      <w:pPr>
        <w:numPr>
          <w:ilvl w:val="0"/>
          <w:numId w:val="46"/>
        </w:numPr>
        <w:rPr>
          <w:rFonts w:cs="Arial"/>
          <w:color w:val="000000" w:themeColor="text1"/>
          <w:szCs w:val="22"/>
          <w:lang w:val="en-US" w:eastAsia="en-GB"/>
        </w:rPr>
      </w:pPr>
      <w:r w:rsidRPr="00BD2E67">
        <w:rPr>
          <w:rFonts w:cs="Arial"/>
          <w:color w:val="000000" w:themeColor="text1"/>
          <w:szCs w:val="22"/>
          <w:lang w:val="en-US" w:eastAsia="en-GB"/>
        </w:rPr>
        <w:t xml:space="preserve">Complaints upheld: </w:t>
      </w:r>
      <w:r w:rsidR="009A760F" w:rsidRPr="009A760F">
        <w:rPr>
          <w:rFonts w:cs="Arial"/>
          <w:color w:val="EE0000"/>
          <w:szCs w:val="22"/>
          <w:lang w:val="en-US" w:eastAsia="en-GB"/>
        </w:rPr>
        <w:t>X</w:t>
      </w:r>
    </w:p>
    <w:p w14:paraId="44B77F61" w14:textId="32AE178B" w:rsidR="00BD2E67" w:rsidRPr="00BD2E67" w:rsidRDefault="00BD2E67" w:rsidP="00BD2E67">
      <w:pPr>
        <w:numPr>
          <w:ilvl w:val="0"/>
          <w:numId w:val="46"/>
        </w:numPr>
        <w:rPr>
          <w:rFonts w:cs="Arial"/>
          <w:color w:val="000000" w:themeColor="text1"/>
          <w:szCs w:val="22"/>
          <w:lang w:val="en-US" w:eastAsia="en-GB"/>
        </w:rPr>
      </w:pPr>
      <w:r w:rsidRPr="00BD2E67">
        <w:rPr>
          <w:rFonts w:cs="Arial"/>
          <w:color w:val="000000" w:themeColor="text1"/>
          <w:szCs w:val="22"/>
          <w:lang w:val="en-US" w:eastAsia="en-GB"/>
        </w:rPr>
        <w:t xml:space="preserve">Complaints rejected: </w:t>
      </w:r>
      <w:r w:rsidR="009A760F" w:rsidRPr="009A760F">
        <w:rPr>
          <w:rFonts w:cs="Arial"/>
          <w:color w:val="EE0000"/>
          <w:szCs w:val="22"/>
          <w:lang w:val="en-US" w:eastAsia="en-GB"/>
        </w:rPr>
        <w:t>X</w:t>
      </w:r>
    </w:p>
    <w:p w14:paraId="4E9E737F" w14:textId="77777777" w:rsidR="00BD2E67" w:rsidRPr="00BD2E67" w:rsidRDefault="00BD2E67" w:rsidP="00BD2E67">
      <w:pPr>
        <w:rPr>
          <w:rFonts w:cs="Arial"/>
          <w:color w:val="000000" w:themeColor="text1"/>
          <w:szCs w:val="22"/>
          <w:lang w:val="en-US" w:eastAsia="en-GB"/>
        </w:rPr>
      </w:pPr>
      <w:r w:rsidRPr="00BD2E67">
        <w:rPr>
          <w:rFonts w:cs="Arial"/>
          <w:color w:val="000000" w:themeColor="text1"/>
          <w:szCs w:val="22"/>
          <w:lang w:val="en-US" w:eastAsia="en-GB"/>
        </w:rPr>
        <w:t>No emerging trends were identified that required systemic remediation.</w:t>
      </w:r>
    </w:p>
    <w:p w14:paraId="2FC19F03" w14:textId="77777777" w:rsidR="00BD2E67" w:rsidRPr="00BD2E67" w:rsidRDefault="00BD2E67" w:rsidP="00BD2E67">
      <w:pPr>
        <w:rPr>
          <w:rFonts w:cs="Arial"/>
          <w:b/>
          <w:bCs/>
          <w:color w:val="000000" w:themeColor="text1"/>
          <w:szCs w:val="22"/>
          <w:lang w:val="en-US" w:eastAsia="en-GB"/>
        </w:rPr>
      </w:pPr>
      <w:r w:rsidRPr="00BD2E67">
        <w:rPr>
          <w:rFonts w:cs="Arial"/>
          <w:b/>
          <w:bCs/>
          <w:color w:val="000000" w:themeColor="text1"/>
          <w:szCs w:val="22"/>
          <w:lang w:val="en-US" w:eastAsia="en-GB"/>
        </w:rPr>
        <w:t>Board Conclusion – Customer Support</w:t>
      </w:r>
    </w:p>
    <w:p w14:paraId="31FE01B2" w14:textId="77777777" w:rsidR="00BD2E67" w:rsidRPr="00B21B90" w:rsidRDefault="00BD2E67" w:rsidP="00BD2E67">
      <w:pPr>
        <w:rPr>
          <w:rFonts w:cs="Arial"/>
          <w:color w:val="000000" w:themeColor="text1"/>
          <w:szCs w:val="22"/>
          <w:lang w:val="en-US" w:eastAsia="en-GB"/>
        </w:rPr>
      </w:pPr>
      <w:r w:rsidRPr="00BD2E67">
        <w:rPr>
          <w:rFonts w:cs="Arial"/>
          <w:color w:val="000000" w:themeColor="text1"/>
          <w:szCs w:val="22"/>
          <w:lang w:val="en-US" w:eastAsia="en-GB"/>
        </w:rPr>
        <w:t>Based on the evidence reviewed, the Board is satisfied that the firm’s customer support arrangements are accessible, responsive and proportionate to client needs, including those with characteristics of vulnerability. The Board considers that support processes avoid foreseeable harm and enable clients to pursue their financial objectives, in line with the Consumer Support Outcome.</w:t>
      </w:r>
    </w:p>
    <w:p w14:paraId="0C0C1313" w14:textId="77777777" w:rsidR="00CB2D87" w:rsidRPr="00BD2E67" w:rsidRDefault="00CB2D87" w:rsidP="004E319A">
      <w:pPr>
        <w:rPr>
          <w:rFonts w:cs="Arial"/>
          <w:color w:val="EE0000"/>
          <w:szCs w:val="22"/>
          <w:lang w:val="en-US" w:eastAsia="en-GB"/>
        </w:rPr>
      </w:pPr>
    </w:p>
    <w:p w14:paraId="2D33F17E" w14:textId="77777777" w:rsidR="00B62D46" w:rsidRPr="006B3FD0" w:rsidRDefault="00B62D46" w:rsidP="00B62D46">
      <w:pPr>
        <w:rPr>
          <w:rFonts w:cs="Arial"/>
          <w:b/>
          <w:bCs/>
          <w:lang w:val="en-US"/>
        </w:rPr>
      </w:pPr>
      <w:r w:rsidRPr="006B3FD0">
        <w:rPr>
          <w:rFonts w:cs="Arial"/>
          <w:b/>
          <w:bCs/>
          <w:lang w:val="en-US"/>
        </w:rPr>
        <w:t>Further Actions Required</w:t>
      </w:r>
    </w:p>
    <w:tbl>
      <w:tblPr>
        <w:tblStyle w:val="TableGrid"/>
        <w:tblW w:w="9064" w:type="dxa"/>
        <w:tblLook w:val="04A0" w:firstRow="1" w:lastRow="0" w:firstColumn="1" w:lastColumn="0" w:noHBand="0" w:noVBand="1"/>
      </w:tblPr>
      <w:tblGrid>
        <w:gridCol w:w="4390"/>
        <w:gridCol w:w="1668"/>
        <w:gridCol w:w="3006"/>
      </w:tblGrid>
      <w:tr w:rsidR="00F36AD2" w:rsidRPr="006B3FD0" w14:paraId="1C08E71E" w14:textId="77777777" w:rsidTr="00857D84">
        <w:tc>
          <w:tcPr>
            <w:tcW w:w="4390" w:type="dxa"/>
            <w:shd w:val="clear" w:color="auto" w:fill="E7E6E6" w:themeFill="background2"/>
          </w:tcPr>
          <w:p w14:paraId="64DAE094"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Action Identified</w:t>
            </w:r>
          </w:p>
        </w:tc>
        <w:tc>
          <w:tcPr>
            <w:tcW w:w="1668" w:type="dxa"/>
            <w:shd w:val="clear" w:color="auto" w:fill="E7E6E6" w:themeFill="background2"/>
          </w:tcPr>
          <w:p w14:paraId="3BE67E89"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Action Owner</w:t>
            </w:r>
          </w:p>
        </w:tc>
        <w:tc>
          <w:tcPr>
            <w:tcW w:w="3006" w:type="dxa"/>
            <w:shd w:val="clear" w:color="auto" w:fill="E7E6E6" w:themeFill="background2"/>
          </w:tcPr>
          <w:p w14:paraId="14910F69"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Timeframe for completion</w:t>
            </w:r>
          </w:p>
        </w:tc>
      </w:tr>
      <w:tr w:rsidR="00F36AD2" w:rsidRPr="006B3FD0" w14:paraId="2FD5C5A6" w14:textId="77777777" w:rsidTr="00857D84">
        <w:tc>
          <w:tcPr>
            <w:tcW w:w="4390" w:type="dxa"/>
          </w:tcPr>
          <w:p w14:paraId="1C9737AD" w14:textId="77777777" w:rsidR="00F36AD2" w:rsidRPr="006B3FD0" w:rsidRDefault="00F36AD2" w:rsidP="00857D84">
            <w:pPr>
              <w:spacing w:after="160" w:line="259" w:lineRule="auto"/>
              <w:rPr>
                <w:rFonts w:cs="Arial"/>
                <w:szCs w:val="22"/>
                <w:lang w:bidi="en-US"/>
              </w:rPr>
            </w:pPr>
          </w:p>
        </w:tc>
        <w:tc>
          <w:tcPr>
            <w:tcW w:w="1668" w:type="dxa"/>
          </w:tcPr>
          <w:p w14:paraId="703FB027" w14:textId="77777777" w:rsidR="00F36AD2" w:rsidRPr="006B3FD0" w:rsidRDefault="00F36AD2" w:rsidP="00857D84">
            <w:pPr>
              <w:spacing w:after="160" w:line="259" w:lineRule="auto"/>
              <w:rPr>
                <w:rFonts w:cs="Arial"/>
                <w:szCs w:val="22"/>
                <w:lang w:bidi="en-US"/>
              </w:rPr>
            </w:pPr>
          </w:p>
        </w:tc>
        <w:tc>
          <w:tcPr>
            <w:tcW w:w="3006" w:type="dxa"/>
          </w:tcPr>
          <w:p w14:paraId="5655ACDF" w14:textId="77777777" w:rsidR="00F36AD2" w:rsidRPr="006B3FD0" w:rsidRDefault="00F36AD2" w:rsidP="00857D84">
            <w:pPr>
              <w:spacing w:after="160" w:line="259" w:lineRule="auto"/>
              <w:rPr>
                <w:rFonts w:cs="Arial"/>
                <w:szCs w:val="22"/>
                <w:lang w:bidi="en-US"/>
              </w:rPr>
            </w:pPr>
          </w:p>
        </w:tc>
      </w:tr>
    </w:tbl>
    <w:p w14:paraId="3C156CA9" w14:textId="77777777" w:rsidR="005C6511" w:rsidRPr="006B3FD0" w:rsidRDefault="005C6511" w:rsidP="00B62D46">
      <w:pPr>
        <w:rPr>
          <w:rFonts w:cs="Arial"/>
          <w:color w:val="000000" w:themeColor="text1"/>
          <w:szCs w:val="22"/>
          <w:lang w:eastAsia="en-GB"/>
        </w:rPr>
      </w:pPr>
    </w:p>
    <w:p w14:paraId="4F1D17FC" w14:textId="77777777" w:rsidR="00B62D46" w:rsidRPr="006B3FD0" w:rsidRDefault="00B62D46" w:rsidP="00B62D46">
      <w:pPr>
        <w:spacing w:after="160" w:line="259" w:lineRule="auto"/>
        <w:rPr>
          <w:rFonts w:cs="Arial"/>
          <w:b/>
          <w:bCs/>
          <w:sz w:val="32"/>
          <w:szCs w:val="32"/>
          <w:lang w:bidi="en-US"/>
        </w:rPr>
      </w:pPr>
      <w:r w:rsidRPr="006B3FD0">
        <w:rPr>
          <w:rFonts w:cs="Arial"/>
          <w:sz w:val="32"/>
          <w:szCs w:val="32"/>
        </w:rPr>
        <w:br w:type="page"/>
      </w:r>
    </w:p>
    <w:p w14:paraId="2A2E04D3" w14:textId="35826D39" w:rsidR="00B62D46" w:rsidRPr="006B3FD0" w:rsidRDefault="00B62D46" w:rsidP="008D29BD">
      <w:pPr>
        <w:pStyle w:val="Heading1"/>
        <w:rPr>
          <w:rFonts w:ascii="Arial" w:hAnsi="Arial"/>
        </w:rPr>
      </w:pPr>
      <w:r w:rsidRPr="006B3FD0">
        <w:rPr>
          <w:rFonts w:ascii="Arial" w:hAnsi="Arial"/>
        </w:rPr>
        <w:lastRenderedPageBreak/>
        <w:t>Culture</w:t>
      </w:r>
      <w:r w:rsidR="00BD2E67">
        <w:rPr>
          <w:rFonts w:ascii="Arial" w:hAnsi="Arial"/>
        </w:rPr>
        <w:t>,</w:t>
      </w:r>
      <w:r w:rsidRPr="006B3FD0">
        <w:rPr>
          <w:rFonts w:ascii="Arial" w:hAnsi="Arial"/>
        </w:rPr>
        <w:t xml:space="preserve"> Governance and Accountability</w:t>
      </w:r>
      <w:bookmarkEnd w:id="2"/>
    </w:p>
    <w:p w14:paraId="5AF5DFF6" w14:textId="77777777" w:rsidR="009D3015" w:rsidRPr="009D3015" w:rsidRDefault="009D3015" w:rsidP="009D3015">
      <w:pPr>
        <w:rPr>
          <w:rFonts w:cs="Arial"/>
          <w:bCs/>
          <w:lang w:val="en-US"/>
        </w:rPr>
      </w:pPr>
      <w:bookmarkStart w:id="3" w:name="_Toc114560526"/>
      <w:r w:rsidRPr="009D3015">
        <w:rPr>
          <w:rFonts w:cs="Arial"/>
          <w:bCs/>
          <w:lang w:val="en-US"/>
        </w:rPr>
        <w:t xml:space="preserve">The Consumer Duty requires firms to ensure that the interests of customers are central to their culture, purpose and strategy, and are embedded throughout the </w:t>
      </w:r>
      <w:proofErr w:type="spellStart"/>
      <w:r w:rsidRPr="009D3015">
        <w:rPr>
          <w:rFonts w:cs="Arial"/>
          <w:bCs/>
          <w:lang w:val="en-US"/>
        </w:rPr>
        <w:t>organisation</w:t>
      </w:r>
      <w:proofErr w:type="spellEnd"/>
      <w:r w:rsidRPr="009D3015">
        <w:rPr>
          <w:rFonts w:cs="Arial"/>
          <w:bCs/>
          <w:lang w:val="en-US"/>
        </w:rPr>
        <w:t>. The Board retains ultimate accountability for delivering good outcomes for retail customers and for overseeing the firm’s compliance with its obligations under the Duty.</w:t>
      </w:r>
    </w:p>
    <w:p w14:paraId="259DCBAB" w14:textId="77777777" w:rsidR="009D3015" w:rsidRPr="009D3015" w:rsidRDefault="009D3015" w:rsidP="009D3015">
      <w:pPr>
        <w:rPr>
          <w:rFonts w:cs="Arial"/>
          <w:bCs/>
          <w:lang w:val="en-US"/>
        </w:rPr>
      </w:pPr>
      <w:r w:rsidRPr="009D3015">
        <w:rPr>
          <w:rFonts w:cs="Arial"/>
          <w:bCs/>
          <w:lang w:val="en-US"/>
        </w:rPr>
        <w:t>In accordance with PRIN 2A.8, the Board has reviewed and approved this Consumer Duty assessment, drawing on management information, oversight activity and challenge from across the business. As part of this review, the Board has considered whether customer outcomes remain at the forefront of decision</w:t>
      </w:r>
      <w:r w:rsidRPr="009D3015">
        <w:rPr>
          <w:rFonts w:cs="Arial"/>
          <w:bCs/>
          <w:lang w:val="en-US"/>
        </w:rPr>
        <w:noBreakHyphen/>
        <w:t>making, whether the firm’s governance arrangements continue to be effective, and whether the firm’s current and forward</w:t>
      </w:r>
      <w:r w:rsidRPr="009D3015">
        <w:rPr>
          <w:rFonts w:cs="Arial"/>
          <w:bCs/>
          <w:lang w:val="en-US"/>
        </w:rPr>
        <w:noBreakHyphen/>
        <w:t>looking business strategy is consistent with the Consumer Duty.</w:t>
      </w:r>
    </w:p>
    <w:p w14:paraId="75D496AE" w14:textId="4AD22097" w:rsidR="00B96C4A" w:rsidRPr="009D3015" w:rsidRDefault="009D3015" w:rsidP="00B62D46">
      <w:pPr>
        <w:rPr>
          <w:rFonts w:cs="Arial"/>
          <w:bCs/>
          <w:lang w:val="en-US"/>
        </w:rPr>
      </w:pPr>
      <w:r w:rsidRPr="009D3015">
        <w:rPr>
          <w:rFonts w:cs="Arial"/>
          <w:bCs/>
          <w:lang w:val="en-US"/>
        </w:rPr>
        <w:t xml:space="preserve">This section </w:t>
      </w:r>
      <w:proofErr w:type="spellStart"/>
      <w:r w:rsidRPr="009D3015">
        <w:rPr>
          <w:rFonts w:cs="Arial"/>
          <w:bCs/>
          <w:lang w:val="en-US"/>
        </w:rPr>
        <w:t>summarises</w:t>
      </w:r>
      <w:proofErr w:type="spellEnd"/>
      <w:r w:rsidRPr="009D3015">
        <w:rPr>
          <w:rFonts w:cs="Arial"/>
          <w:bCs/>
          <w:lang w:val="en-US"/>
        </w:rPr>
        <w:t xml:space="preserve"> how Consumer Duty considerations are embedded into the firm’s culture, governance arrangements and accountability framework, and how these support the delivery of good outcomes on an ongoing basis.</w:t>
      </w:r>
    </w:p>
    <w:p w14:paraId="14356F32" w14:textId="4A3F34AC" w:rsidR="00B62D46" w:rsidRPr="006B3FD0" w:rsidRDefault="00B62D46" w:rsidP="00B62D46">
      <w:pPr>
        <w:rPr>
          <w:rFonts w:cs="Arial"/>
          <w:b/>
          <w:bCs/>
          <w:lang w:val="en-US"/>
        </w:rPr>
      </w:pPr>
      <w:r w:rsidRPr="006B3FD0">
        <w:rPr>
          <w:rFonts w:cs="Arial"/>
          <w:b/>
          <w:bCs/>
          <w:lang w:val="en-US"/>
        </w:rPr>
        <w:t>Action Taken / Firm Approach</w:t>
      </w:r>
    </w:p>
    <w:p w14:paraId="60F793C6" w14:textId="77777777" w:rsidR="00B62D46" w:rsidRPr="006B3FD0" w:rsidRDefault="00B62D46" w:rsidP="00B62D46">
      <w:pPr>
        <w:rPr>
          <w:rFonts w:cs="Arial"/>
          <w:b/>
          <w:bCs/>
          <w:lang w:val="en-US"/>
        </w:rPr>
      </w:pPr>
      <w:r w:rsidRPr="006B3FD0">
        <w:rPr>
          <w:rFonts w:cs="Arial"/>
          <w:b/>
          <w:bCs/>
          <w:lang w:val="en-US"/>
        </w:rPr>
        <w:t>Comments</w:t>
      </w:r>
    </w:p>
    <w:p w14:paraId="78A776C4" w14:textId="77777777" w:rsidR="00766014" w:rsidRPr="008B184A" w:rsidRDefault="00766014" w:rsidP="00766014">
      <w:pPr>
        <w:rPr>
          <w:rFonts w:cs="Arial"/>
          <w:bCs/>
          <w:u w:val="single"/>
        </w:rPr>
      </w:pPr>
      <w:r w:rsidRPr="006B3FD0">
        <w:rPr>
          <w:rFonts w:cs="Arial"/>
          <w:bCs/>
          <w:u w:val="single"/>
        </w:rPr>
        <w:t>Culture</w:t>
      </w:r>
      <w:r>
        <w:rPr>
          <w:rFonts w:cs="Arial"/>
          <w:bCs/>
          <w:u w:val="single"/>
        </w:rPr>
        <w:t xml:space="preserve"> and Governance</w:t>
      </w:r>
    </w:p>
    <w:p w14:paraId="4B8431F1" w14:textId="77777777" w:rsidR="00766014" w:rsidRPr="00766014" w:rsidRDefault="00766014" w:rsidP="00766014">
      <w:pPr>
        <w:jc w:val="both"/>
        <w:rPr>
          <w:rFonts w:cs="Arial"/>
        </w:rPr>
      </w:pPr>
      <w:r w:rsidRPr="00766014">
        <w:rPr>
          <w:rFonts w:cs="Arial"/>
        </w:rPr>
        <w:t xml:space="preserve">Culture and Governance is key for The Firm and we feel this underpins the good outcomes we want our clients to receive. All staff work in the same building, and this promotes a collaborative spirit throughout the office. Senior Management work in the same open plan building which promotes an “open door” policy, in which feedback (good and bad) can be shared. Staff regularly provide this feedback on procedures, systems, and controls that will enhance client outcomes. This feedback is welcomed, taken on board, and changes are made wherever necessary.  </w:t>
      </w:r>
    </w:p>
    <w:p w14:paraId="297CC464" w14:textId="77777777" w:rsidR="00766014" w:rsidRPr="00766014" w:rsidRDefault="00766014" w:rsidP="00766014">
      <w:pPr>
        <w:jc w:val="both"/>
        <w:rPr>
          <w:rFonts w:cs="Arial"/>
        </w:rPr>
      </w:pPr>
      <w:r w:rsidRPr="00766014">
        <w:rPr>
          <w:rFonts w:cs="Arial"/>
        </w:rPr>
        <w:t>Team meeting take place frequently and Consumer Duty is a standing agenda item. This can also be evidenced within staff one-to-ones.</w:t>
      </w:r>
    </w:p>
    <w:p w14:paraId="32870200" w14:textId="77777777" w:rsidR="00766014" w:rsidRPr="00766014" w:rsidRDefault="00766014" w:rsidP="00766014">
      <w:pPr>
        <w:rPr>
          <w:rFonts w:cs="Arial"/>
          <w:u w:val="single"/>
          <w:lang w:val="en-US"/>
        </w:rPr>
      </w:pPr>
      <w:r w:rsidRPr="00766014">
        <w:rPr>
          <w:rFonts w:cs="Arial"/>
          <w:u w:val="single"/>
          <w:lang w:val="en-US"/>
        </w:rPr>
        <w:t>Remuneration and Incentives</w:t>
      </w:r>
    </w:p>
    <w:p w14:paraId="00649365" w14:textId="77777777" w:rsidR="00766014" w:rsidRPr="00766014" w:rsidRDefault="00766014" w:rsidP="00766014">
      <w:pPr>
        <w:rPr>
          <w:rFonts w:cs="Arial"/>
          <w:lang w:val="en-US"/>
        </w:rPr>
      </w:pPr>
      <w:r w:rsidRPr="00766014">
        <w:rPr>
          <w:rFonts w:cs="Arial"/>
          <w:lang w:val="en-US"/>
        </w:rPr>
        <w:t xml:space="preserve">The firm’s remuneration structure has been reviewed over the last 12 months to assess alignment with the Consumer Duty. The Board is satisfied that remuneration arrangements do not </w:t>
      </w:r>
      <w:proofErr w:type="spellStart"/>
      <w:r w:rsidRPr="00766014">
        <w:rPr>
          <w:rFonts w:cs="Arial"/>
          <w:lang w:val="en-US"/>
        </w:rPr>
        <w:t>incentivise</w:t>
      </w:r>
      <w:proofErr w:type="spellEnd"/>
      <w:r w:rsidRPr="00766014">
        <w:rPr>
          <w:rFonts w:cs="Arial"/>
          <w:lang w:val="en-US"/>
        </w:rPr>
        <w:t xml:space="preserve"> </w:t>
      </w:r>
      <w:proofErr w:type="spellStart"/>
      <w:r w:rsidRPr="00766014">
        <w:rPr>
          <w:rFonts w:cs="Arial"/>
          <w:lang w:val="en-US"/>
        </w:rPr>
        <w:t>behaviours</w:t>
      </w:r>
      <w:proofErr w:type="spellEnd"/>
      <w:r w:rsidRPr="00766014">
        <w:rPr>
          <w:rFonts w:cs="Arial"/>
          <w:lang w:val="en-US"/>
        </w:rPr>
        <w:t xml:space="preserve"> that could lead to poor customer outcomes, such as sales targets or new money incentives.</w:t>
      </w:r>
    </w:p>
    <w:p w14:paraId="2D77318E" w14:textId="77777777" w:rsidR="00766014" w:rsidRPr="00766014" w:rsidRDefault="00766014" w:rsidP="00766014">
      <w:pPr>
        <w:rPr>
          <w:rFonts w:cs="Arial"/>
          <w:lang w:val="en-US"/>
        </w:rPr>
      </w:pPr>
      <w:r w:rsidRPr="00766014">
        <w:rPr>
          <w:rFonts w:cs="Arial"/>
          <w:lang w:val="en-US"/>
        </w:rPr>
        <w:t>Remuneration is not linked to product sales or volume</w:t>
      </w:r>
      <w:r w:rsidRPr="00766014">
        <w:rPr>
          <w:rFonts w:cs="Arial"/>
          <w:lang w:val="en-US"/>
        </w:rPr>
        <w:noBreakHyphen/>
        <w:t>based measures, and the firm considers that its approach supports a culture focused on quality of advice, suitability and long</w:t>
      </w:r>
      <w:r w:rsidRPr="00766014">
        <w:rPr>
          <w:rFonts w:cs="Arial"/>
          <w:lang w:val="en-US"/>
        </w:rPr>
        <w:noBreakHyphen/>
        <w:t>term customer relationships rather than transactional outcomes.</w:t>
      </w:r>
    </w:p>
    <w:p w14:paraId="50B4E057" w14:textId="77777777" w:rsidR="00766014" w:rsidRPr="00766014" w:rsidRDefault="00766014" w:rsidP="00766014">
      <w:pPr>
        <w:rPr>
          <w:rFonts w:cs="Arial"/>
          <w:u w:val="single"/>
          <w:lang w:val="en-US"/>
        </w:rPr>
      </w:pPr>
      <w:r w:rsidRPr="00766014">
        <w:rPr>
          <w:rFonts w:cs="Arial"/>
          <w:u w:val="single"/>
          <w:lang w:val="en-US"/>
        </w:rPr>
        <w:t>Training and Competence</w:t>
      </w:r>
    </w:p>
    <w:p w14:paraId="460F43F8" w14:textId="670E454D" w:rsidR="00766014" w:rsidRPr="00766014" w:rsidRDefault="00766014" w:rsidP="00766014">
      <w:pPr>
        <w:rPr>
          <w:rFonts w:cs="Arial"/>
          <w:lang w:val="en-US"/>
        </w:rPr>
      </w:pPr>
      <w:r w:rsidRPr="00766014">
        <w:rPr>
          <w:rFonts w:cs="Arial"/>
          <w:lang w:val="en-US"/>
        </w:rPr>
        <w:t xml:space="preserve">The firm provided Consumer Duty refresher training to staff in </w:t>
      </w:r>
      <w:r w:rsidR="00313C42" w:rsidRPr="00313C42">
        <w:rPr>
          <w:rFonts w:cs="Arial"/>
          <w:color w:val="EE0000"/>
          <w:lang w:val="en-US"/>
        </w:rPr>
        <w:t>MM/YYYY</w:t>
      </w:r>
      <w:r w:rsidRPr="00766014">
        <w:rPr>
          <w:rFonts w:cs="Arial"/>
          <w:lang w:val="en-US"/>
        </w:rPr>
        <w:t>, and this training forms part of the induction process for all new joiners. Ongoing training is delivered throughout the year on topics directly linked to good customer outcomes, including vulnerable clients, complaints handling and Treating Customers Fairly.</w:t>
      </w:r>
    </w:p>
    <w:p w14:paraId="52AF5D2E" w14:textId="77777777" w:rsidR="00766014" w:rsidRPr="00766014" w:rsidRDefault="00766014" w:rsidP="00766014">
      <w:pPr>
        <w:rPr>
          <w:rFonts w:cs="Arial"/>
          <w:lang w:val="en-US"/>
        </w:rPr>
      </w:pPr>
      <w:r w:rsidRPr="00766014">
        <w:rPr>
          <w:rFonts w:cs="Arial"/>
          <w:lang w:val="en-US"/>
        </w:rPr>
        <w:lastRenderedPageBreak/>
        <w:t>The Board is satisfied that staff receive appropriate training to understand their responsibilities under the Consumer Duty and to apply those principles consistently in their day</w:t>
      </w:r>
      <w:r w:rsidRPr="00766014">
        <w:rPr>
          <w:rFonts w:cs="Arial"/>
          <w:lang w:val="en-US"/>
        </w:rPr>
        <w:noBreakHyphen/>
        <w:t>to</w:t>
      </w:r>
      <w:r w:rsidRPr="00766014">
        <w:rPr>
          <w:rFonts w:cs="Arial"/>
          <w:lang w:val="en-US"/>
        </w:rPr>
        <w:noBreakHyphen/>
        <w:t>day roles.</w:t>
      </w:r>
    </w:p>
    <w:p w14:paraId="2C96909E" w14:textId="77777777" w:rsidR="00766014" w:rsidRPr="00313C42" w:rsidRDefault="00766014" w:rsidP="00766014">
      <w:pPr>
        <w:rPr>
          <w:rFonts w:cs="Arial"/>
          <w:u w:val="single"/>
          <w:lang w:val="en-US"/>
        </w:rPr>
      </w:pPr>
      <w:r w:rsidRPr="00313C42">
        <w:rPr>
          <w:rFonts w:cs="Arial"/>
          <w:u w:val="single"/>
          <w:lang w:val="en-US"/>
        </w:rPr>
        <w:t>Governance and Accountability</w:t>
      </w:r>
    </w:p>
    <w:p w14:paraId="2736CE3F" w14:textId="77777777" w:rsidR="00766014" w:rsidRPr="00766014" w:rsidRDefault="00766014" w:rsidP="00766014">
      <w:pPr>
        <w:rPr>
          <w:rFonts w:cs="Arial"/>
          <w:bCs/>
          <w:color w:val="000000" w:themeColor="text1"/>
          <w:lang w:val="en-US"/>
        </w:rPr>
      </w:pPr>
      <w:r w:rsidRPr="00766014">
        <w:rPr>
          <w:rFonts w:cs="Arial"/>
          <w:bCs/>
          <w:color w:val="000000" w:themeColor="text1"/>
          <w:lang w:val="en-US"/>
        </w:rPr>
        <w:t>The Board has considered whether Principle 12 and the wider Consumer Duty requirements are reflected in the firm’s strategy, governance framework, leadership approach and people policies. Oversight is supported by internal monitoring, management information and independent challenge from compliance.</w:t>
      </w:r>
    </w:p>
    <w:p w14:paraId="7C932059" w14:textId="77777777" w:rsidR="00766014" w:rsidRPr="00766014" w:rsidRDefault="00766014" w:rsidP="00766014">
      <w:pPr>
        <w:rPr>
          <w:rFonts w:cs="Arial"/>
          <w:bCs/>
          <w:color w:val="000000" w:themeColor="text1"/>
          <w:lang w:val="en-US"/>
        </w:rPr>
      </w:pPr>
      <w:r w:rsidRPr="00766014">
        <w:rPr>
          <w:rFonts w:cs="Arial"/>
          <w:bCs/>
          <w:color w:val="000000" w:themeColor="text1"/>
          <w:lang w:val="en-US"/>
        </w:rPr>
        <w:t>Where issues or risks are identified, these are escalated, discussed and tracked to resolution. The Board considers that accountability for customer outcomes is clearly defined and embedded across the business.</w:t>
      </w:r>
    </w:p>
    <w:p w14:paraId="334CF1E4" w14:textId="77777777" w:rsidR="00766014" w:rsidRPr="00766014" w:rsidRDefault="00766014" w:rsidP="00766014">
      <w:pPr>
        <w:rPr>
          <w:rFonts w:cs="Arial"/>
          <w:b/>
          <w:bCs/>
          <w:color w:val="000000" w:themeColor="text1"/>
          <w:lang w:val="en-US"/>
        </w:rPr>
      </w:pPr>
      <w:r w:rsidRPr="00766014">
        <w:rPr>
          <w:rFonts w:cs="Arial"/>
          <w:b/>
          <w:bCs/>
          <w:color w:val="000000" w:themeColor="text1"/>
          <w:lang w:val="en-US"/>
        </w:rPr>
        <w:t>Board Conclusion – Culture, Governance and Accountability</w:t>
      </w:r>
    </w:p>
    <w:p w14:paraId="29E87F89" w14:textId="77777777" w:rsidR="00766014" w:rsidRPr="00766014" w:rsidRDefault="00766014" w:rsidP="00766014">
      <w:pPr>
        <w:rPr>
          <w:rFonts w:cs="Arial"/>
          <w:bCs/>
          <w:color w:val="000000" w:themeColor="text1"/>
          <w:lang w:val="en-US"/>
        </w:rPr>
      </w:pPr>
      <w:r w:rsidRPr="00766014">
        <w:rPr>
          <w:rFonts w:cs="Arial"/>
          <w:bCs/>
          <w:color w:val="000000" w:themeColor="text1"/>
          <w:lang w:val="en-US"/>
        </w:rPr>
        <w:t>Having reviewed the evidence set out above, the Board is satisfied that the firm’s culture, governance arrangements and accountability framework support the delivery of good customer outcomes and are consistent with the obligations under the Consumer Duty.</w:t>
      </w:r>
    </w:p>
    <w:p w14:paraId="2F25AF54" w14:textId="77777777" w:rsidR="00B62D46" w:rsidRPr="006B3FD0" w:rsidRDefault="00B62D46" w:rsidP="00B62D46">
      <w:pPr>
        <w:rPr>
          <w:rFonts w:cs="Arial"/>
          <w:b/>
          <w:bCs/>
          <w:lang w:val="en-US"/>
        </w:rPr>
      </w:pPr>
      <w:r w:rsidRPr="006B3FD0">
        <w:rPr>
          <w:rFonts w:cs="Arial"/>
          <w:b/>
          <w:bCs/>
          <w:lang w:val="en-US"/>
        </w:rPr>
        <w:t>Further Actions Required</w:t>
      </w:r>
    </w:p>
    <w:tbl>
      <w:tblPr>
        <w:tblStyle w:val="TableGrid"/>
        <w:tblW w:w="9064" w:type="dxa"/>
        <w:tblLook w:val="04A0" w:firstRow="1" w:lastRow="0" w:firstColumn="1" w:lastColumn="0" w:noHBand="0" w:noVBand="1"/>
      </w:tblPr>
      <w:tblGrid>
        <w:gridCol w:w="4390"/>
        <w:gridCol w:w="1668"/>
        <w:gridCol w:w="3006"/>
      </w:tblGrid>
      <w:tr w:rsidR="00F36AD2" w:rsidRPr="006B3FD0" w14:paraId="279C50D7" w14:textId="77777777" w:rsidTr="00857D84">
        <w:tc>
          <w:tcPr>
            <w:tcW w:w="4390" w:type="dxa"/>
            <w:shd w:val="clear" w:color="auto" w:fill="E7E6E6" w:themeFill="background2"/>
          </w:tcPr>
          <w:p w14:paraId="6A4A630A"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Action Identified</w:t>
            </w:r>
          </w:p>
        </w:tc>
        <w:tc>
          <w:tcPr>
            <w:tcW w:w="1668" w:type="dxa"/>
            <w:shd w:val="clear" w:color="auto" w:fill="E7E6E6" w:themeFill="background2"/>
          </w:tcPr>
          <w:p w14:paraId="42C65CD6"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Action Owner</w:t>
            </w:r>
          </w:p>
        </w:tc>
        <w:tc>
          <w:tcPr>
            <w:tcW w:w="3006" w:type="dxa"/>
            <w:shd w:val="clear" w:color="auto" w:fill="E7E6E6" w:themeFill="background2"/>
          </w:tcPr>
          <w:p w14:paraId="4EE44E4A"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Timeframe for completion</w:t>
            </w:r>
          </w:p>
        </w:tc>
      </w:tr>
      <w:tr w:rsidR="00F36AD2" w:rsidRPr="006B3FD0" w14:paraId="61D00D8C" w14:textId="77777777" w:rsidTr="00857D84">
        <w:tc>
          <w:tcPr>
            <w:tcW w:w="4390" w:type="dxa"/>
          </w:tcPr>
          <w:p w14:paraId="32D6076C" w14:textId="77777777" w:rsidR="00F36AD2" w:rsidRPr="006B3FD0" w:rsidRDefault="00F36AD2" w:rsidP="00857D84">
            <w:pPr>
              <w:spacing w:after="160" w:line="259" w:lineRule="auto"/>
              <w:rPr>
                <w:rFonts w:cs="Arial"/>
                <w:szCs w:val="22"/>
                <w:lang w:bidi="en-US"/>
              </w:rPr>
            </w:pPr>
          </w:p>
        </w:tc>
        <w:tc>
          <w:tcPr>
            <w:tcW w:w="1668" w:type="dxa"/>
          </w:tcPr>
          <w:p w14:paraId="57E7805E" w14:textId="77777777" w:rsidR="00F36AD2" w:rsidRPr="006B3FD0" w:rsidRDefault="00F36AD2" w:rsidP="00857D84">
            <w:pPr>
              <w:spacing w:after="160" w:line="259" w:lineRule="auto"/>
              <w:rPr>
                <w:rFonts w:cs="Arial"/>
                <w:szCs w:val="22"/>
                <w:lang w:bidi="en-US"/>
              </w:rPr>
            </w:pPr>
          </w:p>
        </w:tc>
        <w:tc>
          <w:tcPr>
            <w:tcW w:w="3006" w:type="dxa"/>
          </w:tcPr>
          <w:p w14:paraId="67347096" w14:textId="77777777" w:rsidR="00F36AD2" w:rsidRPr="006B3FD0" w:rsidRDefault="00F36AD2" w:rsidP="00857D84">
            <w:pPr>
              <w:spacing w:after="160" w:line="259" w:lineRule="auto"/>
              <w:rPr>
                <w:rFonts w:cs="Arial"/>
                <w:szCs w:val="22"/>
                <w:lang w:bidi="en-US"/>
              </w:rPr>
            </w:pPr>
          </w:p>
        </w:tc>
      </w:tr>
    </w:tbl>
    <w:p w14:paraId="68242781" w14:textId="77777777" w:rsidR="00BE62A5" w:rsidRPr="006B3FD0" w:rsidRDefault="00BE62A5" w:rsidP="00BE62A5">
      <w:pPr>
        <w:rPr>
          <w:rFonts w:cs="Arial"/>
        </w:rPr>
      </w:pPr>
    </w:p>
    <w:p w14:paraId="26A3EE00" w14:textId="76C71656" w:rsidR="00B62D46" w:rsidRPr="006B3FD0" w:rsidRDefault="00B62D46" w:rsidP="008D29BD">
      <w:pPr>
        <w:pStyle w:val="Heading1"/>
        <w:rPr>
          <w:rFonts w:ascii="Arial" w:hAnsi="Arial"/>
        </w:rPr>
      </w:pPr>
      <w:r w:rsidRPr="006B3FD0">
        <w:rPr>
          <w:rFonts w:ascii="Arial" w:hAnsi="Arial"/>
        </w:rPr>
        <w:t xml:space="preserve">Monitoring Outcomes </w:t>
      </w:r>
      <w:bookmarkEnd w:id="3"/>
    </w:p>
    <w:p w14:paraId="69A12514" w14:textId="77777777" w:rsidR="00AB1FAD" w:rsidRPr="00AB1FAD" w:rsidRDefault="00AB1FAD" w:rsidP="00AB1FAD">
      <w:pPr>
        <w:rPr>
          <w:rFonts w:cs="Arial"/>
          <w:bCs/>
          <w:lang w:val="en-US"/>
        </w:rPr>
      </w:pPr>
      <w:r w:rsidRPr="00AB1FAD">
        <w:rPr>
          <w:rFonts w:cs="Arial"/>
          <w:bCs/>
          <w:lang w:val="en-US"/>
        </w:rPr>
        <w:t>A core requirement of the Consumer Duty is that firms assess, test, understand and are able to evidence the outcomes that customers are receiving. The Board is responsible for overseeing this assessment and for determining whether the firm is acting to deliver good outcomes for retail customers on an ongoing basis.</w:t>
      </w:r>
    </w:p>
    <w:p w14:paraId="66185DE2" w14:textId="77777777" w:rsidR="00AB1FAD" w:rsidRPr="00AB1FAD" w:rsidRDefault="00AB1FAD" w:rsidP="00AB1FAD">
      <w:pPr>
        <w:rPr>
          <w:rFonts w:cs="Arial"/>
          <w:bCs/>
          <w:lang w:val="en-US"/>
        </w:rPr>
      </w:pPr>
      <w:r w:rsidRPr="00AB1FAD">
        <w:rPr>
          <w:rFonts w:cs="Arial"/>
          <w:bCs/>
          <w:lang w:val="en-US"/>
        </w:rPr>
        <w:t>In monitoring outcomes, the Board has considered how the firm’s business model, governance arrangements, culture and operational controls interact to support customer outcomes across each of the four Consumer Duty outcomes. This includes reviewing relevant management information, identifying emerging risks to good outcomes, and assessing whether controls and practices remain effective.</w:t>
      </w:r>
    </w:p>
    <w:p w14:paraId="4FD69D56" w14:textId="38A58A6E" w:rsidR="00AB1FAD" w:rsidRPr="00AB1FAD" w:rsidRDefault="00AB1FAD" w:rsidP="00AB1FAD">
      <w:pPr>
        <w:rPr>
          <w:rFonts w:cs="Arial"/>
          <w:bCs/>
          <w:lang w:val="en-US"/>
        </w:rPr>
      </w:pPr>
      <w:r w:rsidRPr="00AB1FAD">
        <w:rPr>
          <w:rFonts w:cs="Arial"/>
          <w:bCs/>
          <w:lang w:val="en-US"/>
        </w:rPr>
        <w:t xml:space="preserve">The Board has reviewed and approved the firm’s assessment of customer outcomes for the period </w:t>
      </w:r>
      <w:r w:rsidRPr="003832F6">
        <w:rPr>
          <w:rFonts w:cs="Arial"/>
          <w:bCs/>
          <w:lang w:val="en-US"/>
        </w:rPr>
        <w:t>1 August 2025 to 31 July 2026</w:t>
      </w:r>
      <w:r w:rsidRPr="00AB1FAD">
        <w:rPr>
          <w:rFonts w:cs="Arial"/>
          <w:bCs/>
          <w:lang w:val="en-US"/>
        </w:rPr>
        <w:t>, considered any instances of poor or potentially poor outcomes, and agreed actions where remediation or enhancement was required.</w:t>
      </w:r>
    </w:p>
    <w:p w14:paraId="775EDE34" w14:textId="77777777" w:rsidR="00AB1FAD" w:rsidRPr="002C402F" w:rsidRDefault="00AB1FAD" w:rsidP="00AB1FAD">
      <w:pPr>
        <w:rPr>
          <w:rFonts w:cs="Arial"/>
          <w:bCs/>
          <w:lang w:val="en-US"/>
        </w:rPr>
      </w:pPr>
      <w:r w:rsidRPr="00AB1FAD">
        <w:rPr>
          <w:rFonts w:cs="Arial"/>
          <w:bCs/>
          <w:lang w:val="en-US"/>
        </w:rPr>
        <w:t>The section below sets out the management information used by the firm, the outcomes identified, and the actions taken or planned in response.</w:t>
      </w:r>
    </w:p>
    <w:p w14:paraId="6D3C21B1" w14:textId="5A52F25D" w:rsidR="005004E9" w:rsidRPr="006B3FD0" w:rsidRDefault="00B62D46" w:rsidP="00B62D46">
      <w:pPr>
        <w:rPr>
          <w:rFonts w:cs="Arial"/>
          <w:b/>
          <w:bCs/>
          <w:lang w:val="en-US"/>
        </w:rPr>
      </w:pPr>
      <w:r w:rsidRPr="006B3FD0">
        <w:rPr>
          <w:rFonts w:cs="Arial"/>
          <w:b/>
          <w:bCs/>
          <w:lang w:val="en-US"/>
        </w:rPr>
        <w:t>Action Taken / Firm Approach</w:t>
      </w:r>
    </w:p>
    <w:p w14:paraId="1AB1231E" w14:textId="4E3C1080" w:rsidR="005004E9" w:rsidRPr="006B3FD0" w:rsidRDefault="005004E9" w:rsidP="00B62D46">
      <w:pPr>
        <w:rPr>
          <w:rFonts w:cs="Arial"/>
          <w:b/>
          <w:bCs/>
          <w:lang w:val="en-US"/>
        </w:rPr>
      </w:pPr>
      <w:r w:rsidRPr="006B3FD0">
        <w:rPr>
          <w:rFonts w:cs="Arial"/>
          <w:b/>
          <w:bCs/>
          <w:lang w:val="en-US"/>
        </w:rPr>
        <w:t>Comments</w:t>
      </w:r>
    </w:p>
    <w:p w14:paraId="173E7DFB" w14:textId="77777777" w:rsidR="00E766AF" w:rsidRPr="008929E4" w:rsidRDefault="00E766AF" w:rsidP="00E766AF">
      <w:pPr>
        <w:rPr>
          <w:rFonts w:cs="Arial"/>
          <w:bCs/>
          <w:lang w:val="en-US"/>
        </w:rPr>
      </w:pPr>
      <w:r w:rsidRPr="008929E4">
        <w:rPr>
          <w:rFonts w:cs="Arial"/>
          <w:bCs/>
          <w:lang w:val="en-US"/>
        </w:rPr>
        <w:lastRenderedPageBreak/>
        <w:t>Maintaining proportionate, relevant and meaningful management information is a key component of the firm’s monitoring of customer outcomes. The Board uses a combination of quantitative and qualitative MI to assess whether customers are receiving good outcomes across the four Consumer Duty outcomes and to identify any emerging risks.</w:t>
      </w:r>
    </w:p>
    <w:p w14:paraId="5373B995" w14:textId="77777777" w:rsidR="00E766AF" w:rsidRPr="008929E4" w:rsidRDefault="00E766AF" w:rsidP="00E766AF">
      <w:pPr>
        <w:rPr>
          <w:rFonts w:cs="Arial"/>
          <w:bCs/>
          <w:lang w:val="en-US"/>
        </w:rPr>
      </w:pPr>
      <w:r w:rsidRPr="008929E4">
        <w:rPr>
          <w:rFonts w:cs="Arial"/>
          <w:bCs/>
          <w:lang w:val="en-US"/>
        </w:rPr>
        <w:t>During the reporting period, the firm monitored a range of data points, including:</w:t>
      </w:r>
    </w:p>
    <w:p w14:paraId="19A37A33" w14:textId="77777777" w:rsidR="00E766AF" w:rsidRPr="008929E4" w:rsidRDefault="00E766AF" w:rsidP="00E766AF">
      <w:pPr>
        <w:numPr>
          <w:ilvl w:val="0"/>
          <w:numId w:val="47"/>
        </w:numPr>
        <w:rPr>
          <w:rFonts w:cs="Arial"/>
          <w:bCs/>
          <w:lang w:val="en-US"/>
        </w:rPr>
      </w:pPr>
      <w:r w:rsidRPr="008929E4">
        <w:rPr>
          <w:rFonts w:cs="Arial"/>
          <w:bCs/>
          <w:lang w:val="en-US"/>
        </w:rPr>
        <w:t>training and competence records</w:t>
      </w:r>
    </w:p>
    <w:p w14:paraId="2F93ADAD" w14:textId="77777777" w:rsidR="00E766AF" w:rsidRPr="008929E4" w:rsidRDefault="00E766AF" w:rsidP="00E766AF">
      <w:pPr>
        <w:numPr>
          <w:ilvl w:val="0"/>
          <w:numId w:val="47"/>
        </w:numPr>
        <w:rPr>
          <w:rFonts w:cs="Arial"/>
          <w:bCs/>
          <w:lang w:val="en-US"/>
        </w:rPr>
      </w:pPr>
      <w:r w:rsidRPr="008929E4">
        <w:rPr>
          <w:rFonts w:cs="Arial"/>
          <w:bCs/>
          <w:lang w:val="en-US"/>
        </w:rPr>
        <w:t>internal and external file review outcomes</w:t>
      </w:r>
    </w:p>
    <w:p w14:paraId="4F7A93B3" w14:textId="77777777" w:rsidR="00E766AF" w:rsidRPr="008929E4" w:rsidRDefault="00E766AF" w:rsidP="00E766AF">
      <w:pPr>
        <w:numPr>
          <w:ilvl w:val="0"/>
          <w:numId w:val="47"/>
        </w:numPr>
        <w:rPr>
          <w:rFonts w:cs="Arial"/>
          <w:bCs/>
          <w:lang w:val="en-US"/>
        </w:rPr>
      </w:pPr>
      <w:r w:rsidRPr="008929E4">
        <w:rPr>
          <w:rFonts w:cs="Arial"/>
          <w:bCs/>
          <w:lang w:val="en-US"/>
        </w:rPr>
        <w:t>client and staff feedback</w:t>
      </w:r>
    </w:p>
    <w:p w14:paraId="2C81094E" w14:textId="77777777" w:rsidR="00E766AF" w:rsidRPr="008929E4" w:rsidRDefault="00E766AF" w:rsidP="00E766AF">
      <w:pPr>
        <w:numPr>
          <w:ilvl w:val="0"/>
          <w:numId w:val="47"/>
        </w:numPr>
        <w:rPr>
          <w:rFonts w:cs="Arial"/>
          <w:bCs/>
          <w:lang w:val="en-US"/>
        </w:rPr>
      </w:pPr>
      <w:r w:rsidRPr="008929E4">
        <w:rPr>
          <w:rFonts w:cs="Arial"/>
          <w:bCs/>
          <w:lang w:val="en-US"/>
        </w:rPr>
        <w:t>complaints and breach data</w:t>
      </w:r>
    </w:p>
    <w:p w14:paraId="6D4EAF8E" w14:textId="77777777" w:rsidR="00E766AF" w:rsidRPr="008929E4" w:rsidRDefault="00E766AF" w:rsidP="00E766AF">
      <w:pPr>
        <w:numPr>
          <w:ilvl w:val="0"/>
          <w:numId w:val="47"/>
        </w:numPr>
        <w:rPr>
          <w:rFonts w:cs="Arial"/>
          <w:bCs/>
          <w:lang w:val="en-US"/>
        </w:rPr>
      </w:pPr>
      <w:r w:rsidRPr="008929E4">
        <w:rPr>
          <w:rFonts w:cs="Arial"/>
          <w:bCs/>
          <w:lang w:val="en-US"/>
        </w:rPr>
        <w:t>ongoing servicing delivery</w:t>
      </w:r>
    </w:p>
    <w:p w14:paraId="7EB1B997" w14:textId="77777777" w:rsidR="00E766AF" w:rsidRPr="008929E4" w:rsidRDefault="00E766AF" w:rsidP="00E766AF">
      <w:pPr>
        <w:numPr>
          <w:ilvl w:val="0"/>
          <w:numId w:val="47"/>
        </w:numPr>
        <w:rPr>
          <w:rFonts w:cs="Arial"/>
          <w:bCs/>
          <w:lang w:val="en-US"/>
        </w:rPr>
      </w:pPr>
      <w:r w:rsidRPr="008929E4">
        <w:rPr>
          <w:rFonts w:cs="Arial"/>
          <w:bCs/>
          <w:lang w:val="en-US"/>
        </w:rPr>
        <w:t>client retention and referral trends</w:t>
      </w:r>
    </w:p>
    <w:p w14:paraId="0329E25A" w14:textId="77777777" w:rsidR="00E766AF" w:rsidRPr="008929E4" w:rsidRDefault="00E766AF" w:rsidP="00E766AF">
      <w:pPr>
        <w:numPr>
          <w:ilvl w:val="0"/>
          <w:numId w:val="47"/>
        </w:numPr>
        <w:rPr>
          <w:rFonts w:cs="Arial"/>
          <w:bCs/>
          <w:lang w:val="en-US"/>
        </w:rPr>
      </w:pPr>
      <w:r w:rsidRPr="008929E4">
        <w:rPr>
          <w:rFonts w:cs="Arial"/>
          <w:bCs/>
          <w:lang w:val="en-US"/>
        </w:rPr>
        <w:t>fee deviations</w:t>
      </w:r>
    </w:p>
    <w:p w14:paraId="78DD39FC" w14:textId="77777777" w:rsidR="00E766AF" w:rsidRPr="008929E4" w:rsidRDefault="00E766AF" w:rsidP="00E766AF">
      <w:pPr>
        <w:numPr>
          <w:ilvl w:val="0"/>
          <w:numId w:val="47"/>
        </w:numPr>
        <w:rPr>
          <w:rFonts w:cs="Arial"/>
          <w:bCs/>
          <w:lang w:val="en-US"/>
        </w:rPr>
      </w:pPr>
      <w:r w:rsidRPr="008929E4">
        <w:rPr>
          <w:rFonts w:cs="Arial"/>
          <w:bCs/>
          <w:lang w:val="en-US"/>
        </w:rPr>
        <w:t>vulnerability indicators and outcomes</w:t>
      </w:r>
    </w:p>
    <w:p w14:paraId="5A066797" w14:textId="77777777" w:rsidR="00E766AF" w:rsidRPr="008929E4" w:rsidRDefault="00E766AF" w:rsidP="00E766AF">
      <w:pPr>
        <w:numPr>
          <w:ilvl w:val="0"/>
          <w:numId w:val="47"/>
        </w:numPr>
        <w:rPr>
          <w:rFonts w:cs="Arial"/>
          <w:bCs/>
          <w:lang w:val="en-US"/>
        </w:rPr>
      </w:pPr>
      <w:r w:rsidRPr="008929E4">
        <w:rPr>
          <w:rFonts w:cs="Arial"/>
          <w:bCs/>
          <w:lang w:val="en-US"/>
        </w:rPr>
        <w:t>process improvements and changes</w:t>
      </w:r>
    </w:p>
    <w:p w14:paraId="42C1041E" w14:textId="77777777" w:rsidR="00E766AF" w:rsidRPr="008929E4" w:rsidRDefault="00E766AF" w:rsidP="00E766AF">
      <w:pPr>
        <w:numPr>
          <w:ilvl w:val="0"/>
          <w:numId w:val="47"/>
        </w:numPr>
        <w:rPr>
          <w:rFonts w:cs="Arial"/>
          <w:bCs/>
          <w:lang w:val="en-US"/>
        </w:rPr>
      </w:pPr>
      <w:r w:rsidRPr="008929E4">
        <w:rPr>
          <w:rFonts w:cs="Arial"/>
          <w:bCs/>
          <w:lang w:val="en-US"/>
        </w:rPr>
        <w:t>relevant FCA developments and regulatory updates</w:t>
      </w:r>
    </w:p>
    <w:p w14:paraId="01C7BAD5" w14:textId="77777777" w:rsidR="00E766AF" w:rsidRPr="008929E4" w:rsidRDefault="00E766AF" w:rsidP="00E766AF">
      <w:pPr>
        <w:rPr>
          <w:rFonts w:cs="Arial"/>
          <w:bCs/>
          <w:lang w:val="en-US"/>
        </w:rPr>
      </w:pPr>
      <w:r w:rsidRPr="008929E4">
        <w:rPr>
          <w:rFonts w:cs="Arial"/>
          <w:bCs/>
          <w:lang w:val="en-US"/>
        </w:rPr>
        <w:t>This MI is reviewed at appropriate intervals by senior management and informs discussions at governance forums, including Board</w:t>
      </w:r>
      <w:r w:rsidRPr="008929E4">
        <w:rPr>
          <w:rFonts w:cs="Arial"/>
          <w:bCs/>
          <w:lang w:val="en-US"/>
        </w:rPr>
        <w:noBreakHyphen/>
        <w:t>level consideration of Consumer Duty outcomes. Where themes, variances or risks are identified, these are explored further to understand root causes and to determine whether remedial action or enhancements are required.</w:t>
      </w:r>
    </w:p>
    <w:p w14:paraId="7E9019D4" w14:textId="2645D6AA" w:rsidR="00E766AF" w:rsidRPr="008929E4" w:rsidRDefault="00E766AF" w:rsidP="00E766AF">
      <w:pPr>
        <w:rPr>
          <w:rFonts w:cs="Arial"/>
          <w:bCs/>
          <w:lang w:val="en-US"/>
        </w:rPr>
      </w:pPr>
      <w:r w:rsidRPr="008929E4">
        <w:rPr>
          <w:rFonts w:cs="Arial"/>
          <w:bCs/>
          <w:lang w:val="en-US"/>
        </w:rPr>
        <w:t>During the period, no systemic poor outcomes were identified through MI review. However, the firm continues to refine and enhance its MI framework to ensure it remains aligned with desired customer outcomes. Over the next 12 months, the firm will further review the relevance and effectiveness of its MI, including whether additional data points or segmentation would provide improved insight into customer outcomes and risks.</w:t>
      </w:r>
    </w:p>
    <w:p w14:paraId="793BE71A" w14:textId="77777777" w:rsidR="00E766AF" w:rsidRPr="00CA1DA8" w:rsidRDefault="00E766AF" w:rsidP="00E766AF">
      <w:pPr>
        <w:rPr>
          <w:rFonts w:cs="Arial"/>
          <w:b/>
          <w:bCs/>
          <w:lang w:val="en-US"/>
        </w:rPr>
      </w:pPr>
      <w:r w:rsidRPr="00CA1DA8">
        <w:rPr>
          <w:rFonts w:cs="Arial"/>
          <w:b/>
          <w:bCs/>
          <w:lang w:val="en-US"/>
        </w:rPr>
        <w:t>Board Conclusion – Monitoring Outcomes</w:t>
      </w:r>
    </w:p>
    <w:p w14:paraId="5A2895DD" w14:textId="36817C2D" w:rsidR="00330C0C" w:rsidRDefault="00E766AF" w:rsidP="00E766AF">
      <w:pPr>
        <w:rPr>
          <w:rFonts w:cs="Arial"/>
          <w:bCs/>
          <w:lang w:val="en-US"/>
        </w:rPr>
      </w:pPr>
      <w:r w:rsidRPr="00E766AF">
        <w:rPr>
          <w:rFonts w:cs="Arial"/>
          <w:bCs/>
          <w:lang w:val="en-US"/>
        </w:rPr>
        <w:t>Based on the management information reviewed and oversight undertaken, the Board is satisfied that the firm has appropriate arrangements in place to monitor customer outcomes, identify risks to good outcomes and take action where necessary, consistent with the Consumer Duty.</w:t>
      </w:r>
    </w:p>
    <w:p w14:paraId="0D4A3172" w14:textId="77777777" w:rsidR="00330C0C" w:rsidRPr="00527005" w:rsidRDefault="00330C0C" w:rsidP="00330C0C">
      <w:pPr>
        <w:rPr>
          <w:rFonts w:cs="Arial"/>
          <w:bCs/>
          <w:lang w:val="en-US"/>
        </w:rPr>
      </w:pPr>
      <w:r w:rsidRPr="00527005">
        <w:rPr>
          <w:rFonts w:cs="Arial"/>
          <w:bCs/>
          <w:lang w:val="en-US"/>
        </w:rPr>
        <w:t>The Board’s assessment has been informed by a combination of quantitative and qualitative MI drawn from core governance and operational sources (e.g., back</w:t>
      </w:r>
      <w:r w:rsidRPr="00527005">
        <w:rPr>
          <w:rFonts w:cs="Arial"/>
          <w:bCs/>
          <w:lang w:val="en-US"/>
        </w:rPr>
        <w:noBreakHyphen/>
        <w:t>office records, file review outcomes, complaints/breach logs, servicing registers and feedback). MI is reviewed at appropriate intervals (some monthly, some less frequently) and adjusted over time to remain proportionate to the firm’s size and activities.</w:t>
      </w:r>
    </w:p>
    <w:tbl>
      <w:tblPr>
        <w:tblW w:w="9121" w:type="dxa"/>
        <w:tblCellSpacing w:w="15" w:type="dxa"/>
        <w:tblCellMar>
          <w:top w:w="15" w:type="dxa"/>
          <w:left w:w="15" w:type="dxa"/>
          <w:bottom w:w="15" w:type="dxa"/>
          <w:right w:w="15" w:type="dxa"/>
        </w:tblCellMar>
        <w:tblLook w:val="04A0" w:firstRow="1" w:lastRow="0" w:firstColumn="1" w:lastColumn="0" w:noHBand="0" w:noVBand="1"/>
      </w:tblPr>
      <w:tblGrid>
        <w:gridCol w:w="1146"/>
        <w:gridCol w:w="1353"/>
        <w:gridCol w:w="1840"/>
        <w:gridCol w:w="1229"/>
        <w:gridCol w:w="944"/>
        <w:gridCol w:w="1687"/>
        <w:gridCol w:w="1297"/>
      </w:tblGrid>
      <w:tr w:rsidR="00330C0C" w:rsidRPr="00C31AA6" w14:paraId="38E658A1" w14:textId="77777777" w:rsidTr="00952A3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257925E" w14:textId="77777777" w:rsidR="00330C0C" w:rsidRPr="00527005" w:rsidRDefault="00330C0C" w:rsidP="00952A32">
            <w:pPr>
              <w:rPr>
                <w:rFonts w:cs="Arial"/>
                <w:sz w:val="16"/>
                <w:szCs w:val="18"/>
                <w:lang w:val="en-US"/>
              </w:rPr>
            </w:pPr>
            <w:r w:rsidRPr="00527005">
              <w:rPr>
                <w:rFonts w:cs="Arial"/>
                <w:sz w:val="16"/>
                <w:szCs w:val="18"/>
                <w:lang w:val="en-US"/>
              </w:rPr>
              <w:lastRenderedPageBreak/>
              <w:t>Consumer Duty Outcome</w:t>
            </w:r>
          </w:p>
        </w:tc>
        <w:tc>
          <w:tcPr>
            <w:tcW w:w="139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4970395" w14:textId="77777777" w:rsidR="00330C0C" w:rsidRPr="00527005" w:rsidRDefault="00330C0C" w:rsidP="00952A32">
            <w:pPr>
              <w:rPr>
                <w:rFonts w:cs="Arial"/>
                <w:sz w:val="16"/>
                <w:szCs w:val="18"/>
                <w:lang w:val="en-US"/>
              </w:rPr>
            </w:pPr>
            <w:r w:rsidRPr="00527005">
              <w:rPr>
                <w:rFonts w:cs="Arial"/>
                <w:sz w:val="16"/>
                <w:szCs w:val="18"/>
                <w:lang w:val="en-US"/>
              </w:rPr>
              <w:t>“Good outcome” (Board definition – short)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071201A" w14:textId="77777777" w:rsidR="00330C0C" w:rsidRPr="00527005" w:rsidRDefault="00330C0C" w:rsidP="00952A32">
            <w:pPr>
              <w:rPr>
                <w:rFonts w:cs="Arial"/>
                <w:sz w:val="16"/>
                <w:szCs w:val="18"/>
                <w:lang w:val="en-US"/>
              </w:rPr>
            </w:pPr>
            <w:r w:rsidRPr="00527005">
              <w:rPr>
                <w:rFonts w:cs="Arial"/>
                <w:sz w:val="16"/>
                <w:szCs w:val="18"/>
                <w:lang w:val="en-US"/>
              </w:rPr>
              <w:t>Core MI / measures (examples + placeholders)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EE96F65" w14:textId="77777777" w:rsidR="00330C0C" w:rsidRPr="00527005" w:rsidRDefault="00330C0C" w:rsidP="00952A32">
            <w:pPr>
              <w:rPr>
                <w:rFonts w:cs="Arial"/>
                <w:sz w:val="16"/>
                <w:szCs w:val="18"/>
                <w:lang w:val="en-US"/>
              </w:rPr>
            </w:pPr>
            <w:r w:rsidRPr="00527005">
              <w:rPr>
                <w:rFonts w:cs="Arial"/>
                <w:sz w:val="16"/>
                <w:szCs w:val="18"/>
                <w:lang w:val="en-US"/>
              </w:rPr>
              <w:t>Main data sources / where evidenced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C634962" w14:textId="77777777" w:rsidR="00330C0C" w:rsidRPr="00527005" w:rsidRDefault="00330C0C" w:rsidP="00952A32">
            <w:pPr>
              <w:rPr>
                <w:rFonts w:cs="Arial"/>
                <w:sz w:val="16"/>
                <w:szCs w:val="18"/>
                <w:lang w:val="en-US"/>
              </w:rPr>
            </w:pPr>
            <w:r w:rsidRPr="00527005">
              <w:rPr>
                <w:rFonts w:cs="Arial"/>
                <w:sz w:val="16"/>
                <w:szCs w:val="18"/>
                <w:lang w:val="en-US"/>
              </w:rPr>
              <w:t>Frequency &amp; governance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0330B0" w14:textId="77777777" w:rsidR="00330C0C" w:rsidRPr="00527005" w:rsidRDefault="00330C0C" w:rsidP="00952A32">
            <w:pPr>
              <w:rPr>
                <w:rFonts w:cs="Arial"/>
                <w:sz w:val="16"/>
                <w:szCs w:val="18"/>
                <w:lang w:val="en-US"/>
              </w:rPr>
            </w:pPr>
            <w:r w:rsidRPr="00527005">
              <w:rPr>
                <w:rFonts w:cs="Arial"/>
                <w:sz w:val="16"/>
                <w:szCs w:val="18"/>
                <w:lang w:val="en-US"/>
              </w:rPr>
              <w:t>Triggers / thresholds (examples + placeholders)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D6F7B9E" w14:textId="77777777" w:rsidR="00330C0C" w:rsidRPr="00527005" w:rsidRDefault="00330C0C" w:rsidP="00952A32">
            <w:pPr>
              <w:rPr>
                <w:rFonts w:cs="Arial"/>
                <w:sz w:val="16"/>
                <w:szCs w:val="18"/>
                <w:lang w:val="en-US"/>
              </w:rPr>
            </w:pPr>
            <w:r w:rsidRPr="00527005">
              <w:rPr>
                <w:rFonts w:cs="Arial"/>
                <w:sz w:val="16"/>
                <w:szCs w:val="18"/>
                <w:lang w:val="en-US"/>
              </w:rPr>
              <w:t>What we did / what changed (link to actions)</w:t>
            </w:r>
          </w:p>
        </w:tc>
      </w:tr>
      <w:tr w:rsidR="00330C0C" w:rsidRPr="00C31AA6" w14:paraId="2A750102" w14:textId="77777777" w:rsidTr="00952A3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E2F89E" w14:textId="77777777" w:rsidR="00330C0C" w:rsidRPr="00527005" w:rsidRDefault="00330C0C" w:rsidP="00952A32">
            <w:pPr>
              <w:rPr>
                <w:rFonts w:cs="Arial"/>
                <w:sz w:val="16"/>
                <w:szCs w:val="18"/>
                <w:lang w:val="en-US"/>
              </w:rPr>
            </w:pPr>
            <w:r w:rsidRPr="00527005">
              <w:rPr>
                <w:rFonts w:cs="Arial"/>
                <w:sz w:val="16"/>
                <w:szCs w:val="18"/>
                <w:lang w:val="en-US"/>
              </w:rPr>
              <w:t>Products &amp; Services</w:t>
            </w:r>
          </w:p>
        </w:tc>
        <w:tc>
          <w:tcPr>
            <w:tcW w:w="1398" w:type="dxa"/>
            <w:tcBorders>
              <w:top w:val="single" w:sz="6" w:space="0" w:color="E6E6E6"/>
              <w:left w:val="single" w:sz="6" w:space="0" w:color="E6E6E6"/>
              <w:bottom w:val="single" w:sz="6" w:space="0" w:color="E6E6E6"/>
              <w:right w:val="single" w:sz="6" w:space="0" w:color="E6E6E6"/>
            </w:tcBorders>
            <w:vAlign w:val="center"/>
            <w:hideMark/>
          </w:tcPr>
          <w:p w14:paraId="5968C753" w14:textId="77777777" w:rsidR="00330C0C" w:rsidRPr="00527005" w:rsidRDefault="00330C0C" w:rsidP="00952A32">
            <w:pPr>
              <w:rPr>
                <w:rFonts w:cs="Arial"/>
                <w:sz w:val="16"/>
                <w:szCs w:val="18"/>
                <w:lang w:val="en-US"/>
              </w:rPr>
            </w:pPr>
            <w:r w:rsidRPr="00527005">
              <w:rPr>
                <w:rFonts w:cs="Arial"/>
                <w:sz w:val="16"/>
                <w:szCs w:val="18"/>
                <w:lang w:val="en-US"/>
              </w:rPr>
              <w:t>Products/services and service propositions remain suitable for target markets and deliver intended benefits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B393CB"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 xml:space="preserve">% clients aligned to service proposition target market (e.g., Bronze/Silver/Gold) </w:t>
            </w:r>
          </w:p>
          <w:p w14:paraId="3B39A804"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 xml:space="preserve">Number of proposition switches and reasons </w:t>
            </w:r>
          </w:p>
          <w:p w14:paraId="2DEF700E"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 xml:space="preserve">Investment proposition review outcomes (funds added/removed; rationale) </w:t>
            </w:r>
          </w:p>
          <w:p w14:paraId="55AA9151"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Advice file review grading distribution (A–E)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95AE2A"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Back</w:t>
            </w:r>
            <w:r w:rsidRPr="00326B72">
              <w:rPr>
                <w:rFonts w:cs="Arial"/>
                <w:color w:val="EE0000"/>
                <w:sz w:val="16"/>
                <w:szCs w:val="18"/>
                <w:lang w:val="en-US"/>
              </w:rPr>
              <w:noBreakHyphen/>
              <w:t>office segmentation;</w:t>
            </w:r>
          </w:p>
          <w:p w14:paraId="08473DA7"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 xml:space="preserve">service registers; </w:t>
            </w:r>
          </w:p>
          <w:p w14:paraId="3014F295"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 xml:space="preserve">investment committee outputs; </w:t>
            </w:r>
          </w:p>
          <w:p w14:paraId="2EAAF979"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internal/external file checks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316B66"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Quarterly (IC / governance forum), plus annual Board assessment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F21D18" w14:textId="77777777" w:rsidR="00330C0C" w:rsidRPr="00326B72" w:rsidRDefault="00330C0C" w:rsidP="00952A32">
            <w:pPr>
              <w:ind w:left="97" w:hanging="97"/>
              <w:rPr>
                <w:rFonts w:cs="Arial"/>
                <w:color w:val="EE0000"/>
                <w:sz w:val="16"/>
                <w:szCs w:val="18"/>
                <w:lang w:val="en-US"/>
              </w:rPr>
            </w:pPr>
            <w:r w:rsidRPr="00326B72">
              <w:rPr>
                <w:rFonts w:cs="Arial"/>
                <w:color w:val="EE0000"/>
                <w:sz w:val="16"/>
                <w:szCs w:val="18"/>
                <w:lang w:val="en-US"/>
              </w:rPr>
              <w:t xml:space="preserve">• Negative target market cases above [X] </w:t>
            </w:r>
          </w:p>
          <w:p w14:paraId="0D52F112" w14:textId="77777777" w:rsidR="00330C0C" w:rsidRPr="00326B72" w:rsidRDefault="00330C0C" w:rsidP="00952A32">
            <w:pPr>
              <w:ind w:left="97" w:hanging="97"/>
              <w:rPr>
                <w:rFonts w:cs="Arial"/>
                <w:color w:val="EE0000"/>
                <w:sz w:val="16"/>
                <w:szCs w:val="18"/>
                <w:lang w:val="en-US"/>
              </w:rPr>
            </w:pPr>
            <w:r w:rsidRPr="00326B72">
              <w:rPr>
                <w:rFonts w:cs="Arial"/>
                <w:color w:val="EE0000"/>
                <w:sz w:val="16"/>
                <w:szCs w:val="18"/>
                <w:lang w:val="en-US"/>
              </w:rPr>
              <w:t xml:space="preserve">• File review “unsafe/unsuitable” above [X%] </w:t>
            </w:r>
          </w:p>
          <w:p w14:paraId="41F700BA" w14:textId="77777777" w:rsidR="00330C0C" w:rsidRPr="00326B72" w:rsidRDefault="00330C0C" w:rsidP="00952A32">
            <w:pPr>
              <w:ind w:left="97" w:hanging="97"/>
              <w:rPr>
                <w:rFonts w:cs="Arial"/>
                <w:color w:val="EE0000"/>
                <w:sz w:val="16"/>
                <w:szCs w:val="18"/>
                <w:lang w:val="en-US"/>
              </w:rPr>
            </w:pPr>
            <w:r w:rsidRPr="00326B72">
              <w:rPr>
                <w:rFonts w:cs="Arial"/>
                <w:color w:val="EE0000"/>
                <w:sz w:val="16"/>
                <w:szCs w:val="18"/>
                <w:lang w:val="en-US"/>
              </w:rPr>
              <w:t>• Recurring suitability theme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E3BA75"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Actions agreed: [e.g., proposition refinement / suitability report improvements / adviser coaching] (cross</w:t>
            </w:r>
            <w:r w:rsidRPr="00326B72">
              <w:rPr>
                <w:rFonts w:cs="Arial"/>
                <w:color w:val="EE0000"/>
                <w:sz w:val="16"/>
                <w:szCs w:val="18"/>
                <w:lang w:val="en-US"/>
              </w:rPr>
              <w:noBreakHyphen/>
              <w:t>ref actions log)</w:t>
            </w:r>
          </w:p>
        </w:tc>
      </w:tr>
      <w:tr w:rsidR="00330C0C" w:rsidRPr="00C31AA6" w14:paraId="0C647C72" w14:textId="77777777" w:rsidTr="00952A3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B46FC8" w14:textId="77777777" w:rsidR="00330C0C" w:rsidRPr="00527005" w:rsidRDefault="00330C0C" w:rsidP="00952A32">
            <w:pPr>
              <w:rPr>
                <w:rFonts w:cs="Arial"/>
                <w:sz w:val="16"/>
                <w:szCs w:val="18"/>
                <w:lang w:val="en-US"/>
              </w:rPr>
            </w:pPr>
            <w:r w:rsidRPr="00527005">
              <w:rPr>
                <w:rFonts w:cs="Arial"/>
                <w:sz w:val="16"/>
                <w:szCs w:val="18"/>
                <w:lang w:val="en-US"/>
              </w:rPr>
              <w:t>Price &amp; Value</w:t>
            </w:r>
          </w:p>
        </w:tc>
        <w:tc>
          <w:tcPr>
            <w:tcW w:w="1398" w:type="dxa"/>
            <w:tcBorders>
              <w:top w:val="single" w:sz="6" w:space="0" w:color="E6E6E6"/>
              <w:left w:val="single" w:sz="6" w:space="0" w:color="E6E6E6"/>
              <w:bottom w:val="single" w:sz="6" w:space="0" w:color="E6E6E6"/>
              <w:right w:val="single" w:sz="6" w:space="0" w:color="E6E6E6"/>
            </w:tcBorders>
            <w:vAlign w:val="center"/>
            <w:hideMark/>
          </w:tcPr>
          <w:p w14:paraId="5631457D" w14:textId="77777777" w:rsidR="00330C0C" w:rsidRPr="00527005" w:rsidRDefault="00330C0C" w:rsidP="00952A32">
            <w:pPr>
              <w:rPr>
                <w:rFonts w:cs="Arial"/>
                <w:sz w:val="16"/>
                <w:szCs w:val="18"/>
                <w:lang w:val="en-US"/>
              </w:rPr>
            </w:pPr>
            <w:r w:rsidRPr="00527005">
              <w:rPr>
                <w:rFonts w:cs="Arial"/>
                <w:sz w:val="16"/>
                <w:szCs w:val="18"/>
                <w:lang w:val="en-US"/>
              </w:rPr>
              <w:t>Total costs paid are reasonable relative to benefits and quality; no systematic poor value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43B396"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 xml:space="preserve">Fair value assessment completed/updated (yes/no) </w:t>
            </w:r>
          </w:p>
          <w:p w14:paraId="2F4D5FE7"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 xml:space="preserve">Fee deviations count and rationale </w:t>
            </w:r>
          </w:p>
          <w:p w14:paraId="4664F5A9"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Cost</w:t>
            </w:r>
            <w:r w:rsidRPr="00326B72">
              <w:rPr>
                <w:rFonts w:cs="Arial"/>
                <w:color w:val="EE0000"/>
                <w:sz w:val="16"/>
                <w:szCs w:val="18"/>
                <w:lang w:val="en-US"/>
              </w:rPr>
              <w:noBreakHyphen/>
              <w:t>to</w:t>
            </w:r>
            <w:r w:rsidRPr="00326B72">
              <w:rPr>
                <w:rFonts w:cs="Arial"/>
                <w:color w:val="EE0000"/>
                <w:sz w:val="16"/>
                <w:szCs w:val="18"/>
                <w:lang w:val="en-US"/>
              </w:rPr>
              <w:noBreakHyphen/>
              <w:t xml:space="preserve">serve by proposition (income vs cost) </w:t>
            </w:r>
          </w:p>
          <w:p w14:paraId="2A313EF2"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 xml:space="preserve">Refunds/fee adjustments (volume and reason) </w:t>
            </w:r>
          </w:p>
          <w:p w14:paraId="3E4888A1"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Client outcomes/feedback re fees/value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AE6399"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Fair value assessment; fee deviation log; MI packs; client feedback sources; file reviews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2FDFFD"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At least annual fair value review; exceptions monitored ongoing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B0CD0C" w14:textId="77777777" w:rsidR="00330C0C" w:rsidRPr="00326B72" w:rsidRDefault="00330C0C" w:rsidP="00952A32">
            <w:pPr>
              <w:ind w:left="97" w:hanging="97"/>
              <w:rPr>
                <w:rFonts w:cs="Arial"/>
                <w:color w:val="EE0000"/>
                <w:sz w:val="16"/>
                <w:szCs w:val="18"/>
                <w:lang w:val="en-US"/>
              </w:rPr>
            </w:pPr>
            <w:r w:rsidRPr="00326B72">
              <w:rPr>
                <w:rFonts w:cs="Arial"/>
                <w:color w:val="EE0000"/>
                <w:sz w:val="16"/>
                <w:szCs w:val="18"/>
                <w:lang w:val="en-US"/>
              </w:rPr>
              <w:t>• Cost</w:t>
            </w:r>
            <w:r w:rsidRPr="00326B72">
              <w:rPr>
                <w:rFonts w:cs="Arial"/>
                <w:color w:val="EE0000"/>
                <w:sz w:val="16"/>
                <w:szCs w:val="18"/>
                <w:lang w:val="en-US"/>
              </w:rPr>
              <w:noBreakHyphen/>
              <w:t>to</w:t>
            </w:r>
            <w:r w:rsidRPr="00326B72">
              <w:rPr>
                <w:rFonts w:cs="Arial"/>
                <w:color w:val="EE0000"/>
                <w:sz w:val="16"/>
                <w:szCs w:val="18"/>
                <w:lang w:val="en-US"/>
              </w:rPr>
              <w:noBreakHyphen/>
              <w:t>serve indicates sustained “loss</w:t>
            </w:r>
            <w:r w:rsidRPr="00326B72">
              <w:rPr>
                <w:rFonts w:cs="Arial"/>
                <w:color w:val="EE0000"/>
                <w:sz w:val="16"/>
                <w:szCs w:val="18"/>
                <w:lang w:val="en-US"/>
              </w:rPr>
              <w:noBreakHyphen/>
              <w:t xml:space="preserve">making” cohort </w:t>
            </w:r>
          </w:p>
          <w:p w14:paraId="44B6FA8F" w14:textId="77777777" w:rsidR="00330C0C" w:rsidRPr="00326B72" w:rsidRDefault="00330C0C" w:rsidP="00952A32">
            <w:pPr>
              <w:ind w:left="97" w:hanging="97"/>
              <w:rPr>
                <w:rFonts w:cs="Arial"/>
                <w:color w:val="EE0000"/>
                <w:sz w:val="16"/>
                <w:szCs w:val="18"/>
                <w:lang w:val="en-US"/>
              </w:rPr>
            </w:pPr>
            <w:r w:rsidRPr="00326B72">
              <w:rPr>
                <w:rFonts w:cs="Arial"/>
                <w:color w:val="EE0000"/>
                <w:sz w:val="16"/>
                <w:szCs w:val="18"/>
                <w:lang w:val="en-US"/>
              </w:rPr>
              <w:t xml:space="preserve">• High fee deviations </w:t>
            </w:r>
          </w:p>
          <w:p w14:paraId="3AB71871" w14:textId="77777777" w:rsidR="00330C0C" w:rsidRPr="00326B72" w:rsidRDefault="00330C0C" w:rsidP="00952A32">
            <w:pPr>
              <w:ind w:left="97" w:hanging="97"/>
              <w:rPr>
                <w:rFonts w:cs="Arial"/>
                <w:color w:val="EE0000"/>
                <w:sz w:val="16"/>
                <w:szCs w:val="18"/>
                <w:lang w:val="en-US"/>
              </w:rPr>
            </w:pPr>
            <w:r w:rsidRPr="00326B72">
              <w:rPr>
                <w:rFonts w:cs="Arial"/>
                <w:color w:val="EE0000"/>
                <w:sz w:val="16"/>
                <w:szCs w:val="18"/>
                <w:lang w:val="en-US"/>
              </w:rPr>
              <w:t>• Recurring feedback/complaint re value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316E63"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Actions: [pricing review / proposition changes / enhanced disclosure / targeted review of cohort]</w:t>
            </w:r>
          </w:p>
        </w:tc>
      </w:tr>
      <w:tr w:rsidR="00330C0C" w:rsidRPr="00C31AA6" w14:paraId="5ED3E233" w14:textId="77777777" w:rsidTr="00952A3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06E8E6" w14:textId="77777777" w:rsidR="00330C0C" w:rsidRPr="00527005" w:rsidRDefault="00330C0C" w:rsidP="00952A32">
            <w:pPr>
              <w:rPr>
                <w:rFonts w:cs="Arial"/>
                <w:sz w:val="16"/>
                <w:szCs w:val="18"/>
                <w:lang w:val="en-US"/>
              </w:rPr>
            </w:pPr>
            <w:r w:rsidRPr="00527005">
              <w:rPr>
                <w:rFonts w:cs="Arial"/>
                <w:sz w:val="16"/>
                <w:szCs w:val="18"/>
                <w:lang w:val="en-US"/>
              </w:rPr>
              <w:t>Customer Understanding</w:t>
            </w:r>
          </w:p>
        </w:tc>
        <w:tc>
          <w:tcPr>
            <w:tcW w:w="1398" w:type="dxa"/>
            <w:tcBorders>
              <w:top w:val="single" w:sz="6" w:space="0" w:color="E6E6E6"/>
              <w:left w:val="single" w:sz="6" w:space="0" w:color="E6E6E6"/>
              <w:bottom w:val="single" w:sz="6" w:space="0" w:color="E6E6E6"/>
              <w:right w:val="single" w:sz="6" w:space="0" w:color="E6E6E6"/>
            </w:tcBorders>
            <w:vAlign w:val="center"/>
            <w:hideMark/>
          </w:tcPr>
          <w:p w14:paraId="52217DF8" w14:textId="77777777" w:rsidR="00330C0C" w:rsidRPr="00527005" w:rsidRDefault="00330C0C" w:rsidP="00952A32">
            <w:pPr>
              <w:rPr>
                <w:rFonts w:cs="Arial"/>
                <w:sz w:val="16"/>
                <w:szCs w:val="18"/>
                <w:lang w:val="en-US"/>
              </w:rPr>
            </w:pPr>
            <w:r w:rsidRPr="00527005">
              <w:rPr>
                <w:rFonts w:cs="Arial"/>
                <w:sz w:val="16"/>
                <w:szCs w:val="18"/>
                <w:lang w:val="en-US"/>
              </w:rPr>
              <w:t>Customers receive clear, timely information and are supported to make informed decisions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EA78B2"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 xml:space="preserve">Document review changes completed (disclosures/suitability) </w:t>
            </w:r>
          </w:p>
          <w:p w14:paraId="63252A31"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 xml:space="preserve">Evidence advisers check understanding (meeting notes) </w:t>
            </w:r>
          </w:p>
          <w:p w14:paraId="23D0785D"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 xml:space="preserve">Feedback themes (staff/client) </w:t>
            </w:r>
          </w:p>
          <w:p w14:paraId="0FA6441B" w14:textId="77777777" w:rsidR="00330C0C" w:rsidRPr="00326B72" w:rsidRDefault="00330C0C" w:rsidP="00952A32">
            <w:pPr>
              <w:ind w:left="140" w:hanging="140"/>
              <w:rPr>
                <w:rFonts w:cs="Arial"/>
                <w:color w:val="EE0000"/>
                <w:sz w:val="16"/>
                <w:szCs w:val="18"/>
                <w:lang w:val="en-US"/>
              </w:rPr>
            </w:pPr>
            <w:r w:rsidRPr="00326B72">
              <w:rPr>
                <w:rFonts w:cs="Arial"/>
                <w:color w:val="EE0000"/>
                <w:sz w:val="16"/>
                <w:szCs w:val="18"/>
                <w:lang w:val="en-US"/>
              </w:rPr>
              <w:t xml:space="preserve">• </w:t>
            </w:r>
            <w:r w:rsidRPr="00326B72">
              <w:rPr>
                <w:rFonts w:cs="Arial"/>
                <w:color w:val="EE0000"/>
                <w:sz w:val="16"/>
                <w:szCs w:val="18"/>
                <w:lang w:val="en-US"/>
              </w:rPr>
              <w:tab/>
              <w:t>Errors/omissions in disclosures (if tracked)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8F7BC0"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 xml:space="preserve">Disclosure suite; </w:t>
            </w:r>
          </w:p>
          <w:p w14:paraId="338B5A94"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suitability templates;</w:t>
            </w:r>
          </w:p>
          <w:p w14:paraId="041EB3EA"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meeting notes;</w:t>
            </w:r>
          </w:p>
          <w:p w14:paraId="28E8CAD0"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staff feedback;</w:t>
            </w:r>
          </w:p>
          <w:p w14:paraId="05B946E3"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client feedback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E12438"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Ongoing QA and periodic document review; annual Board assessment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374332" w14:textId="77777777" w:rsidR="00330C0C" w:rsidRPr="00326B72" w:rsidRDefault="00330C0C" w:rsidP="00952A32">
            <w:pPr>
              <w:ind w:left="102" w:hanging="102"/>
              <w:rPr>
                <w:rFonts w:cs="Arial"/>
                <w:color w:val="EE0000"/>
                <w:sz w:val="16"/>
                <w:szCs w:val="18"/>
                <w:lang w:val="en-US"/>
              </w:rPr>
            </w:pPr>
            <w:r w:rsidRPr="00326B72">
              <w:rPr>
                <w:rFonts w:cs="Arial"/>
                <w:color w:val="EE0000"/>
                <w:sz w:val="16"/>
                <w:szCs w:val="18"/>
                <w:lang w:val="en-US"/>
              </w:rPr>
              <w:t xml:space="preserve">• Repeat questions/complaints on same topic </w:t>
            </w:r>
          </w:p>
          <w:p w14:paraId="4219C09D" w14:textId="77777777" w:rsidR="00330C0C" w:rsidRPr="00326B72" w:rsidRDefault="00330C0C" w:rsidP="00952A32">
            <w:pPr>
              <w:ind w:left="102" w:hanging="102"/>
              <w:rPr>
                <w:rFonts w:cs="Arial"/>
                <w:color w:val="EE0000"/>
                <w:sz w:val="16"/>
                <w:szCs w:val="18"/>
                <w:lang w:val="en-US"/>
              </w:rPr>
            </w:pPr>
            <w:r w:rsidRPr="00326B72">
              <w:rPr>
                <w:rFonts w:cs="Arial"/>
                <w:color w:val="EE0000"/>
                <w:sz w:val="16"/>
                <w:szCs w:val="18"/>
                <w:lang w:val="en-US"/>
              </w:rPr>
              <w:t xml:space="preserve">• File checks show inadequate explanation </w:t>
            </w:r>
          </w:p>
          <w:p w14:paraId="70FF0CCA" w14:textId="77777777" w:rsidR="00330C0C" w:rsidRPr="00326B72" w:rsidRDefault="00330C0C" w:rsidP="00952A32">
            <w:pPr>
              <w:ind w:left="102" w:hanging="102"/>
              <w:rPr>
                <w:rFonts w:cs="Arial"/>
                <w:color w:val="EE0000"/>
                <w:sz w:val="16"/>
                <w:szCs w:val="18"/>
                <w:lang w:val="en-US"/>
              </w:rPr>
            </w:pPr>
            <w:r w:rsidRPr="00326B72">
              <w:rPr>
                <w:rFonts w:cs="Arial"/>
                <w:color w:val="EE0000"/>
                <w:sz w:val="16"/>
                <w:szCs w:val="18"/>
                <w:lang w:val="en-US"/>
              </w:rPr>
              <w:t>• Vulnerable customer communication issues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9AA5B6" w14:textId="77777777" w:rsidR="00330C0C" w:rsidRPr="00326B72" w:rsidRDefault="00330C0C" w:rsidP="00952A32">
            <w:pPr>
              <w:rPr>
                <w:rFonts w:cs="Arial"/>
                <w:color w:val="EE0000"/>
                <w:sz w:val="16"/>
                <w:szCs w:val="18"/>
                <w:lang w:val="en-US"/>
              </w:rPr>
            </w:pPr>
            <w:r w:rsidRPr="00326B72">
              <w:rPr>
                <w:rFonts w:cs="Arial"/>
                <w:color w:val="EE0000"/>
                <w:sz w:val="16"/>
                <w:szCs w:val="18"/>
                <w:lang w:val="en-US"/>
              </w:rPr>
              <w:t xml:space="preserve">Actions: [rewrite/structure docs; staff comms coaching; </w:t>
            </w:r>
            <w:proofErr w:type="spellStart"/>
            <w:r w:rsidRPr="00326B72">
              <w:rPr>
                <w:rFonts w:cs="Arial"/>
                <w:color w:val="EE0000"/>
                <w:sz w:val="16"/>
                <w:szCs w:val="18"/>
                <w:lang w:val="en-US"/>
              </w:rPr>
              <w:t>formalised</w:t>
            </w:r>
            <w:proofErr w:type="spellEnd"/>
            <w:r w:rsidRPr="00326B72">
              <w:rPr>
                <w:rFonts w:cs="Arial"/>
                <w:color w:val="EE0000"/>
                <w:sz w:val="16"/>
                <w:szCs w:val="18"/>
                <w:lang w:val="en-US"/>
              </w:rPr>
              <w:t xml:space="preserve"> feedback loop]</w:t>
            </w:r>
          </w:p>
        </w:tc>
      </w:tr>
      <w:tr w:rsidR="00330C0C" w:rsidRPr="00C31AA6" w14:paraId="7405062F" w14:textId="77777777" w:rsidTr="00952A32">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99A961" w14:textId="77777777" w:rsidR="00330C0C" w:rsidRPr="00527005" w:rsidRDefault="00330C0C" w:rsidP="00952A32">
            <w:pPr>
              <w:rPr>
                <w:rFonts w:cs="Arial"/>
                <w:sz w:val="16"/>
                <w:szCs w:val="18"/>
                <w:lang w:val="en-US"/>
              </w:rPr>
            </w:pPr>
            <w:r w:rsidRPr="00527005">
              <w:rPr>
                <w:rFonts w:cs="Arial"/>
                <w:sz w:val="16"/>
                <w:szCs w:val="18"/>
                <w:lang w:val="en-US"/>
              </w:rPr>
              <w:t>Customer Support</w:t>
            </w:r>
          </w:p>
        </w:tc>
        <w:tc>
          <w:tcPr>
            <w:tcW w:w="1398" w:type="dxa"/>
            <w:tcBorders>
              <w:top w:val="single" w:sz="6" w:space="0" w:color="E6E6E6"/>
              <w:left w:val="single" w:sz="6" w:space="0" w:color="E6E6E6"/>
              <w:bottom w:val="single" w:sz="6" w:space="0" w:color="E6E6E6"/>
              <w:right w:val="single" w:sz="6" w:space="0" w:color="E6E6E6"/>
            </w:tcBorders>
            <w:vAlign w:val="center"/>
            <w:hideMark/>
          </w:tcPr>
          <w:p w14:paraId="7F03A276" w14:textId="77777777" w:rsidR="00330C0C" w:rsidRPr="00527005" w:rsidRDefault="00330C0C" w:rsidP="00952A32">
            <w:pPr>
              <w:rPr>
                <w:rFonts w:cs="Arial"/>
                <w:sz w:val="16"/>
                <w:szCs w:val="18"/>
                <w:lang w:val="en-US"/>
              </w:rPr>
            </w:pPr>
            <w:r w:rsidRPr="00527005">
              <w:rPr>
                <w:rFonts w:cs="Arial"/>
                <w:sz w:val="16"/>
                <w:szCs w:val="18"/>
                <w:lang w:val="en-US"/>
              </w:rPr>
              <w:t>Support is accessible, timely and effective; no unreasonable barriers; vulnerability needs met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7C79DC" w14:textId="77777777" w:rsidR="00330C0C" w:rsidRPr="007C3552" w:rsidRDefault="00330C0C" w:rsidP="00952A32">
            <w:pPr>
              <w:ind w:left="140" w:hanging="140"/>
              <w:rPr>
                <w:rFonts w:cs="Arial"/>
                <w:color w:val="EE0000"/>
                <w:sz w:val="16"/>
                <w:szCs w:val="18"/>
                <w:lang w:val="en-US"/>
              </w:rPr>
            </w:pPr>
            <w:r w:rsidRPr="007C3552">
              <w:rPr>
                <w:rFonts w:cs="Arial"/>
                <w:color w:val="EE0000"/>
                <w:sz w:val="16"/>
                <w:szCs w:val="18"/>
                <w:lang w:val="en-US"/>
              </w:rPr>
              <w:t xml:space="preserve">• </w:t>
            </w:r>
            <w:r w:rsidRPr="007C3552">
              <w:rPr>
                <w:rFonts w:cs="Arial"/>
                <w:color w:val="EE0000"/>
                <w:sz w:val="16"/>
                <w:szCs w:val="18"/>
                <w:lang w:val="en-US"/>
              </w:rPr>
              <w:tab/>
              <w:t xml:space="preserve">Response times to calls/emails (if captured) </w:t>
            </w:r>
          </w:p>
          <w:p w14:paraId="475BCF01" w14:textId="77777777" w:rsidR="00330C0C" w:rsidRPr="00330C0C" w:rsidRDefault="00330C0C" w:rsidP="00952A32">
            <w:pPr>
              <w:ind w:left="140" w:hanging="140"/>
              <w:rPr>
                <w:rFonts w:cs="Arial"/>
                <w:color w:val="EE0000"/>
                <w:sz w:val="16"/>
                <w:szCs w:val="18"/>
                <w:lang w:val="fr-FR"/>
              </w:rPr>
            </w:pPr>
            <w:r w:rsidRPr="00330C0C">
              <w:rPr>
                <w:rFonts w:cs="Arial"/>
                <w:color w:val="EE0000"/>
                <w:sz w:val="16"/>
                <w:szCs w:val="18"/>
                <w:lang w:val="fr-FR"/>
              </w:rPr>
              <w:t xml:space="preserve">• </w:t>
            </w:r>
            <w:r w:rsidRPr="00330C0C">
              <w:rPr>
                <w:rFonts w:cs="Arial"/>
                <w:color w:val="EE0000"/>
                <w:sz w:val="16"/>
                <w:szCs w:val="18"/>
                <w:lang w:val="fr-FR"/>
              </w:rPr>
              <w:tab/>
              <w:t xml:space="preserve">Complaint volumes/ </w:t>
            </w:r>
            <w:proofErr w:type="spellStart"/>
            <w:r w:rsidRPr="00330C0C">
              <w:rPr>
                <w:rFonts w:cs="Arial"/>
                <w:color w:val="EE0000"/>
                <w:sz w:val="16"/>
                <w:szCs w:val="18"/>
                <w:lang w:val="fr-FR"/>
              </w:rPr>
              <w:t>outcomes</w:t>
            </w:r>
            <w:proofErr w:type="spellEnd"/>
            <w:r w:rsidRPr="00330C0C">
              <w:rPr>
                <w:rFonts w:cs="Arial"/>
                <w:color w:val="EE0000"/>
                <w:sz w:val="16"/>
                <w:szCs w:val="18"/>
                <w:lang w:val="fr-FR"/>
              </w:rPr>
              <w:t xml:space="preserve"> </w:t>
            </w:r>
          </w:p>
          <w:p w14:paraId="28212A4A" w14:textId="77777777" w:rsidR="00330C0C" w:rsidRPr="00330C0C" w:rsidRDefault="00330C0C" w:rsidP="00952A32">
            <w:pPr>
              <w:ind w:left="140" w:hanging="140"/>
              <w:rPr>
                <w:rFonts w:cs="Arial"/>
                <w:color w:val="EE0000"/>
                <w:sz w:val="16"/>
                <w:szCs w:val="18"/>
                <w:lang w:val="fr-FR"/>
              </w:rPr>
            </w:pPr>
            <w:r w:rsidRPr="00330C0C">
              <w:rPr>
                <w:rFonts w:cs="Arial"/>
                <w:color w:val="EE0000"/>
                <w:sz w:val="16"/>
                <w:szCs w:val="18"/>
                <w:lang w:val="fr-FR"/>
              </w:rPr>
              <w:t xml:space="preserve">• </w:t>
            </w:r>
            <w:r w:rsidRPr="00330C0C">
              <w:rPr>
                <w:rFonts w:cs="Arial"/>
                <w:color w:val="EE0000"/>
                <w:sz w:val="16"/>
                <w:szCs w:val="18"/>
                <w:lang w:val="fr-FR"/>
              </w:rPr>
              <w:tab/>
            </w:r>
            <w:proofErr w:type="spellStart"/>
            <w:r w:rsidRPr="00330C0C">
              <w:rPr>
                <w:rFonts w:cs="Arial"/>
                <w:color w:val="EE0000"/>
                <w:sz w:val="16"/>
                <w:szCs w:val="18"/>
                <w:lang w:val="fr-FR"/>
              </w:rPr>
              <w:t>Vulnerable</w:t>
            </w:r>
            <w:proofErr w:type="spellEnd"/>
            <w:r w:rsidRPr="00330C0C">
              <w:rPr>
                <w:rFonts w:cs="Arial"/>
                <w:color w:val="EE0000"/>
                <w:sz w:val="16"/>
                <w:szCs w:val="18"/>
                <w:lang w:val="fr-FR"/>
              </w:rPr>
              <w:t xml:space="preserve"> client adaptations count </w:t>
            </w:r>
          </w:p>
          <w:p w14:paraId="1B6012F4" w14:textId="77777777" w:rsidR="00330C0C" w:rsidRPr="007C3552" w:rsidRDefault="00330C0C" w:rsidP="00952A32">
            <w:pPr>
              <w:ind w:left="140" w:hanging="140"/>
              <w:rPr>
                <w:rFonts w:cs="Arial"/>
                <w:color w:val="EE0000"/>
                <w:sz w:val="16"/>
                <w:szCs w:val="18"/>
                <w:lang w:val="en-US"/>
              </w:rPr>
            </w:pPr>
            <w:r w:rsidRPr="007C3552">
              <w:rPr>
                <w:rFonts w:cs="Arial"/>
                <w:color w:val="EE0000"/>
                <w:sz w:val="16"/>
                <w:szCs w:val="18"/>
                <w:lang w:val="en-US"/>
              </w:rPr>
              <w:lastRenderedPageBreak/>
              <w:t xml:space="preserve">• </w:t>
            </w:r>
            <w:r w:rsidRPr="007C3552">
              <w:rPr>
                <w:rFonts w:cs="Arial"/>
                <w:color w:val="EE0000"/>
                <w:sz w:val="16"/>
                <w:szCs w:val="18"/>
                <w:lang w:val="en-US"/>
              </w:rPr>
              <w:tab/>
              <w:t>Missed service events and remediation (e.g., refunds)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C3EBB6" w14:textId="77777777" w:rsidR="00330C0C" w:rsidRPr="007C3552" w:rsidRDefault="00330C0C" w:rsidP="00952A32">
            <w:pPr>
              <w:rPr>
                <w:rFonts w:cs="Arial"/>
                <w:color w:val="EE0000"/>
                <w:sz w:val="16"/>
                <w:szCs w:val="18"/>
                <w:lang w:val="en-US"/>
              </w:rPr>
            </w:pPr>
            <w:r w:rsidRPr="007C3552">
              <w:rPr>
                <w:rFonts w:cs="Arial"/>
                <w:color w:val="EE0000"/>
                <w:sz w:val="16"/>
                <w:szCs w:val="18"/>
                <w:lang w:val="en-US"/>
              </w:rPr>
              <w:lastRenderedPageBreak/>
              <w:t>Complaints register; vulnerability MI; servicing registers; client support logs (if used)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36937D" w14:textId="77777777" w:rsidR="00330C0C" w:rsidRPr="007C3552" w:rsidRDefault="00330C0C" w:rsidP="00952A32">
            <w:pPr>
              <w:rPr>
                <w:rFonts w:cs="Arial"/>
                <w:color w:val="EE0000"/>
                <w:sz w:val="16"/>
                <w:szCs w:val="18"/>
                <w:lang w:val="en-US"/>
              </w:rPr>
            </w:pPr>
            <w:r w:rsidRPr="007C3552">
              <w:rPr>
                <w:rFonts w:cs="Arial"/>
                <w:color w:val="EE0000"/>
                <w:sz w:val="16"/>
                <w:szCs w:val="18"/>
                <w:lang w:val="en-US"/>
              </w:rPr>
              <w:t>Regular operational review; Board reviews at least annually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C4EB3E" w14:textId="77777777" w:rsidR="00330C0C" w:rsidRPr="007C3552" w:rsidRDefault="00330C0C" w:rsidP="00952A32">
            <w:pPr>
              <w:ind w:left="102" w:hanging="102"/>
              <w:rPr>
                <w:rFonts w:cs="Arial"/>
                <w:color w:val="EE0000"/>
                <w:sz w:val="16"/>
                <w:szCs w:val="18"/>
                <w:lang w:val="en-US"/>
              </w:rPr>
            </w:pPr>
            <w:r w:rsidRPr="007C3552">
              <w:rPr>
                <w:rFonts w:cs="Arial"/>
                <w:color w:val="EE0000"/>
                <w:sz w:val="16"/>
                <w:szCs w:val="18"/>
                <w:lang w:val="en-US"/>
              </w:rPr>
              <w:t xml:space="preserve">• Complaint handling failures </w:t>
            </w:r>
          </w:p>
          <w:p w14:paraId="3F817247" w14:textId="77777777" w:rsidR="00330C0C" w:rsidRPr="007C3552" w:rsidRDefault="00330C0C" w:rsidP="00952A32">
            <w:pPr>
              <w:ind w:left="102" w:hanging="102"/>
              <w:rPr>
                <w:rFonts w:cs="Arial"/>
                <w:color w:val="EE0000"/>
                <w:sz w:val="16"/>
                <w:szCs w:val="18"/>
                <w:lang w:val="en-US"/>
              </w:rPr>
            </w:pPr>
            <w:r w:rsidRPr="007C3552">
              <w:rPr>
                <w:rFonts w:cs="Arial"/>
                <w:color w:val="EE0000"/>
                <w:sz w:val="16"/>
                <w:szCs w:val="18"/>
                <w:lang w:val="en-US"/>
              </w:rPr>
              <w:t xml:space="preserve">• Support delays beyond [X] </w:t>
            </w:r>
          </w:p>
          <w:p w14:paraId="6409F5F1" w14:textId="77777777" w:rsidR="00330C0C" w:rsidRPr="007C3552" w:rsidRDefault="00330C0C" w:rsidP="00952A32">
            <w:pPr>
              <w:ind w:left="102" w:hanging="102"/>
              <w:rPr>
                <w:rFonts w:cs="Arial"/>
                <w:color w:val="EE0000"/>
                <w:sz w:val="16"/>
                <w:szCs w:val="18"/>
                <w:lang w:val="en-US"/>
              </w:rPr>
            </w:pPr>
            <w:r w:rsidRPr="007C3552">
              <w:rPr>
                <w:rFonts w:cs="Arial"/>
                <w:color w:val="EE0000"/>
                <w:sz w:val="16"/>
                <w:szCs w:val="18"/>
                <w:lang w:val="en-US"/>
              </w:rPr>
              <w:t>• Vulnerable client adverse outcomes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2D0AD2" w14:textId="77777777" w:rsidR="00330C0C" w:rsidRPr="007C3552" w:rsidRDefault="00330C0C" w:rsidP="00952A32">
            <w:pPr>
              <w:rPr>
                <w:rFonts w:cs="Arial"/>
                <w:color w:val="EE0000"/>
                <w:sz w:val="16"/>
                <w:szCs w:val="18"/>
                <w:lang w:val="en-US"/>
              </w:rPr>
            </w:pPr>
            <w:r w:rsidRPr="007C3552">
              <w:rPr>
                <w:rFonts w:cs="Arial"/>
                <w:color w:val="EE0000"/>
                <w:sz w:val="16"/>
                <w:szCs w:val="18"/>
                <w:lang w:val="en-US"/>
              </w:rPr>
              <w:t>Actions: [service standards; complaints RCA; resourcing; training; process fixes]</w:t>
            </w:r>
          </w:p>
        </w:tc>
      </w:tr>
    </w:tbl>
    <w:p w14:paraId="7FCB287D" w14:textId="77777777" w:rsidR="00330C0C" w:rsidRDefault="00330C0C" w:rsidP="00330C0C">
      <w:pPr>
        <w:rPr>
          <w:rFonts w:cs="Arial"/>
          <w:b/>
          <w:bCs/>
          <w:lang w:val="en-US"/>
        </w:rPr>
      </w:pPr>
    </w:p>
    <w:p w14:paraId="39D72243" w14:textId="77777777" w:rsidR="00330C0C" w:rsidRPr="00E766AF" w:rsidRDefault="00330C0C" w:rsidP="00E766AF">
      <w:pPr>
        <w:rPr>
          <w:rFonts w:cs="Arial"/>
          <w:bCs/>
          <w:lang w:val="en-US"/>
        </w:rPr>
      </w:pPr>
    </w:p>
    <w:p w14:paraId="116EE30F" w14:textId="77777777" w:rsidR="00B62D46" w:rsidRPr="006B3FD0" w:rsidRDefault="00B62D46" w:rsidP="00B62D46">
      <w:pPr>
        <w:rPr>
          <w:rFonts w:cs="Arial"/>
          <w:b/>
          <w:bCs/>
          <w:lang w:val="en-US"/>
        </w:rPr>
      </w:pPr>
      <w:r w:rsidRPr="006B3FD0">
        <w:rPr>
          <w:rFonts w:cs="Arial"/>
          <w:b/>
          <w:bCs/>
          <w:lang w:val="en-US"/>
        </w:rPr>
        <w:t>Further Actions Required</w:t>
      </w:r>
    </w:p>
    <w:tbl>
      <w:tblPr>
        <w:tblStyle w:val="TableGrid"/>
        <w:tblW w:w="9064" w:type="dxa"/>
        <w:tblLook w:val="04A0" w:firstRow="1" w:lastRow="0" w:firstColumn="1" w:lastColumn="0" w:noHBand="0" w:noVBand="1"/>
      </w:tblPr>
      <w:tblGrid>
        <w:gridCol w:w="4390"/>
        <w:gridCol w:w="1668"/>
        <w:gridCol w:w="3006"/>
      </w:tblGrid>
      <w:tr w:rsidR="00F36AD2" w:rsidRPr="006B3FD0" w14:paraId="5BC9D78B" w14:textId="77777777" w:rsidTr="00857D84">
        <w:tc>
          <w:tcPr>
            <w:tcW w:w="4390" w:type="dxa"/>
            <w:shd w:val="clear" w:color="auto" w:fill="E7E6E6" w:themeFill="background2"/>
          </w:tcPr>
          <w:p w14:paraId="66594233" w14:textId="77777777" w:rsidR="00F36AD2" w:rsidRPr="006B3FD0" w:rsidRDefault="00F36AD2" w:rsidP="00857D84">
            <w:pPr>
              <w:spacing w:after="160" w:line="259" w:lineRule="auto"/>
              <w:rPr>
                <w:rFonts w:cs="Arial"/>
                <w:sz w:val="22"/>
                <w:szCs w:val="22"/>
                <w:lang w:eastAsia="en-US" w:bidi="en-US"/>
              </w:rPr>
            </w:pPr>
            <w:bookmarkStart w:id="4" w:name="_Toc114560515"/>
            <w:r w:rsidRPr="006B3FD0">
              <w:rPr>
                <w:rFonts w:cs="Arial"/>
                <w:sz w:val="22"/>
                <w:szCs w:val="22"/>
                <w:lang w:eastAsia="en-US" w:bidi="en-US"/>
              </w:rPr>
              <w:t>Action Identified</w:t>
            </w:r>
          </w:p>
        </w:tc>
        <w:tc>
          <w:tcPr>
            <w:tcW w:w="1668" w:type="dxa"/>
            <w:shd w:val="clear" w:color="auto" w:fill="E7E6E6" w:themeFill="background2"/>
          </w:tcPr>
          <w:p w14:paraId="094D857C"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Action Owner</w:t>
            </w:r>
          </w:p>
        </w:tc>
        <w:tc>
          <w:tcPr>
            <w:tcW w:w="3006" w:type="dxa"/>
            <w:shd w:val="clear" w:color="auto" w:fill="E7E6E6" w:themeFill="background2"/>
          </w:tcPr>
          <w:p w14:paraId="7E06892F" w14:textId="77777777" w:rsidR="00F36AD2" w:rsidRPr="006B3FD0" w:rsidRDefault="00F36AD2" w:rsidP="00857D84">
            <w:pPr>
              <w:spacing w:after="160" w:line="259" w:lineRule="auto"/>
              <w:rPr>
                <w:rFonts w:cs="Arial"/>
                <w:sz w:val="22"/>
                <w:szCs w:val="22"/>
                <w:lang w:eastAsia="en-US" w:bidi="en-US"/>
              </w:rPr>
            </w:pPr>
            <w:r w:rsidRPr="006B3FD0">
              <w:rPr>
                <w:rFonts w:cs="Arial"/>
                <w:sz w:val="22"/>
                <w:szCs w:val="22"/>
                <w:lang w:eastAsia="en-US" w:bidi="en-US"/>
              </w:rPr>
              <w:t>Timeframe for completion</w:t>
            </w:r>
          </w:p>
        </w:tc>
      </w:tr>
      <w:tr w:rsidR="00F36AD2" w:rsidRPr="006B3FD0" w14:paraId="1A358488" w14:textId="77777777" w:rsidTr="00857D84">
        <w:tc>
          <w:tcPr>
            <w:tcW w:w="4390" w:type="dxa"/>
          </w:tcPr>
          <w:p w14:paraId="695ED8EB" w14:textId="77777777" w:rsidR="00F36AD2" w:rsidRPr="006B3FD0" w:rsidRDefault="00F36AD2" w:rsidP="00857D84">
            <w:pPr>
              <w:spacing w:after="160" w:line="259" w:lineRule="auto"/>
              <w:rPr>
                <w:rFonts w:cs="Arial"/>
                <w:szCs w:val="22"/>
                <w:lang w:bidi="en-US"/>
              </w:rPr>
            </w:pPr>
          </w:p>
        </w:tc>
        <w:tc>
          <w:tcPr>
            <w:tcW w:w="1668" w:type="dxa"/>
          </w:tcPr>
          <w:p w14:paraId="76B49F03" w14:textId="77777777" w:rsidR="00F36AD2" w:rsidRPr="006B3FD0" w:rsidRDefault="00F36AD2" w:rsidP="00857D84">
            <w:pPr>
              <w:spacing w:after="160" w:line="259" w:lineRule="auto"/>
              <w:rPr>
                <w:rFonts w:cs="Arial"/>
                <w:szCs w:val="22"/>
                <w:lang w:bidi="en-US"/>
              </w:rPr>
            </w:pPr>
          </w:p>
        </w:tc>
        <w:tc>
          <w:tcPr>
            <w:tcW w:w="3006" w:type="dxa"/>
          </w:tcPr>
          <w:p w14:paraId="0A4528A9" w14:textId="77777777" w:rsidR="00F36AD2" w:rsidRPr="006B3FD0" w:rsidRDefault="00F36AD2" w:rsidP="00857D84">
            <w:pPr>
              <w:spacing w:after="160" w:line="259" w:lineRule="auto"/>
              <w:rPr>
                <w:rFonts w:cs="Arial"/>
                <w:szCs w:val="22"/>
                <w:lang w:bidi="en-US"/>
              </w:rPr>
            </w:pPr>
          </w:p>
        </w:tc>
      </w:tr>
    </w:tbl>
    <w:p w14:paraId="3266C081" w14:textId="77777777" w:rsidR="00313C42" w:rsidRDefault="00313C42" w:rsidP="008D29BD">
      <w:pPr>
        <w:pStyle w:val="Heading1"/>
        <w:rPr>
          <w:rFonts w:ascii="Arial" w:hAnsi="Arial"/>
        </w:rPr>
      </w:pPr>
    </w:p>
    <w:p w14:paraId="0D11F84F" w14:textId="51A7EE1D" w:rsidR="00B62D46" w:rsidRPr="006B3FD0" w:rsidRDefault="00B62D46" w:rsidP="008D29BD">
      <w:pPr>
        <w:pStyle w:val="Heading1"/>
        <w:rPr>
          <w:rFonts w:ascii="Arial" w:hAnsi="Arial"/>
        </w:rPr>
      </w:pPr>
      <w:r w:rsidRPr="006B3FD0">
        <w:rPr>
          <w:rFonts w:ascii="Arial" w:hAnsi="Arial"/>
        </w:rPr>
        <w:t>Board Sign-Off</w:t>
      </w:r>
      <w:bookmarkEnd w:id="4"/>
    </w:p>
    <w:p w14:paraId="056FB0DD" w14:textId="660C5D98" w:rsidR="00B62D46" w:rsidRPr="006B3FD0" w:rsidRDefault="0079793E" w:rsidP="00B62D46">
      <w:pPr>
        <w:rPr>
          <w:rFonts w:cs="Arial"/>
          <w:lang w:bidi="en-US"/>
        </w:rPr>
      </w:pPr>
      <w:r w:rsidRPr="006B3FD0">
        <w:rPr>
          <w:rFonts w:cs="Arial"/>
          <w:color w:val="000000" w:themeColor="text1"/>
          <w:lang w:bidi="en-US"/>
        </w:rPr>
        <w:t>The Firm</w:t>
      </w:r>
      <w:r w:rsidR="00B62D46" w:rsidRPr="006B3FD0">
        <w:rPr>
          <w:rFonts w:cs="Arial"/>
          <w:color w:val="000000" w:themeColor="text1"/>
          <w:lang w:bidi="en-US"/>
        </w:rPr>
        <w:t xml:space="preserve"> </w:t>
      </w:r>
      <w:r w:rsidR="00B62D46" w:rsidRPr="006B3FD0">
        <w:rPr>
          <w:rFonts w:cs="Arial"/>
          <w:lang w:bidi="en-US"/>
        </w:rPr>
        <w:t>have reviewed and approved this Consumer Duty Annual Report and agreed all actions arising from the review.</w:t>
      </w:r>
    </w:p>
    <w:p w14:paraId="28E0D0AC" w14:textId="67FC0850" w:rsidR="00B62D46" w:rsidRPr="006B3FD0" w:rsidRDefault="0079793E" w:rsidP="00B62D46">
      <w:pPr>
        <w:rPr>
          <w:rFonts w:cs="Arial"/>
          <w:color w:val="000000" w:themeColor="text1"/>
          <w:lang w:bidi="en-US"/>
        </w:rPr>
      </w:pPr>
      <w:r w:rsidRPr="006B3FD0">
        <w:rPr>
          <w:rFonts w:cs="Arial"/>
          <w:color w:val="000000" w:themeColor="text1"/>
          <w:lang w:bidi="en-US"/>
        </w:rPr>
        <w:t>The Firm</w:t>
      </w:r>
      <w:r w:rsidR="00B62D46" w:rsidRPr="006B3FD0">
        <w:rPr>
          <w:rFonts w:cs="Arial"/>
          <w:color w:val="000000" w:themeColor="text1"/>
          <w:lang w:bidi="en-US"/>
        </w:rPr>
        <w:t xml:space="preserve"> ha</w:t>
      </w:r>
      <w:r w:rsidR="002B4996" w:rsidRPr="006B3FD0">
        <w:rPr>
          <w:rFonts w:cs="Arial"/>
          <w:color w:val="000000" w:themeColor="text1"/>
          <w:lang w:bidi="en-US"/>
        </w:rPr>
        <w:t>ve</w:t>
      </w:r>
      <w:r w:rsidR="00B62D46" w:rsidRPr="006B3FD0">
        <w:rPr>
          <w:rFonts w:cs="Arial"/>
          <w:color w:val="000000" w:themeColor="text1"/>
          <w:lang w:bidi="en-US"/>
        </w:rPr>
        <w:t xml:space="preserve"> decided not to make changes to its business strategy as a </w:t>
      </w:r>
      <w:r w:rsidR="00525C97" w:rsidRPr="006B3FD0">
        <w:rPr>
          <w:rFonts w:cs="Arial"/>
          <w:color w:val="000000" w:themeColor="text1"/>
          <w:lang w:bidi="en-US"/>
        </w:rPr>
        <w:t xml:space="preserve">result of the identified actions. </w:t>
      </w:r>
    </w:p>
    <w:p w14:paraId="53B22DC6" w14:textId="77777777" w:rsidR="00B62D46" w:rsidRPr="006B3FD0" w:rsidRDefault="00B62D46" w:rsidP="00B62D46">
      <w:pPr>
        <w:rPr>
          <w:rFonts w:cs="Arial"/>
          <w:lang w:bidi="en-US"/>
        </w:rPr>
      </w:pPr>
    </w:p>
    <w:tbl>
      <w:tblPr>
        <w:tblStyle w:val="ATEBTableChunky"/>
        <w:tblW w:w="5000" w:type="pct"/>
        <w:tblLook w:val="0400" w:firstRow="0" w:lastRow="0" w:firstColumn="0" w:lastColumn="0" w:noHBand="0" w:noVBand="1"/>
      </w:tblPr>
      <w:tblGrid>
        <w:gridCol w:w="2256"/>
        <w:gridCol w:w="2257"/>
        <w:gridCol w:w="2256"/>
        <w:gridCol w:w="2257"/>
      </w:tblGrid>
      <w:tr w:rsidR="00B62D46" w:rsidRPr="006B3FD0" w14:paraId="70EB2D10" w14:textId="77777777" w:rsidTr="00857D84">
        <w:trPr>
          <w:cnfStyle w:val="000000100000" w:firstRow="0" w:lastRow="0" w:firstColumn="0" w:lastColumn="0" w:oddVBand="0" w:evenVBand="0" w:oddHBand="1" w:evenHBand="0" w:firstRowFirstColumn="0" w:firstRowLastColumn="0" w:lastRowFirstColumn="0" w:lastRowLastColumn="0"/>
        </w:trPr>
        <w:tc>
          <w:tcPr>
            <w:tcW w:w="2256" w:type="dxa"/>
          </w:tcPr>
          <w:p w14:paraId="7592F638" w14:textId="77777777" w:rsidR="00B62D46" w:rsidRPr="006B3FD0" w:rsidRDefault="00B62D46" w:rsidP="00857D84">
            <w:pPr>
              <w:jc w:val="center"/>
              <w:rPr>
                <w:rFonts w:cs="Arial"/>
                <w:b/>
                <w:bCs/>
                <w:color w:val="272727"/>
                <w:sz w:val="22"/>
                <w:szCs w:val="22"/>
                <w:lang w:bidi="en-US"/>
              </w:rPr>
            </w:pPr>
            <w:r w:rsidRPr="006B3FD0">
              <w:rPr>
                <w:rFonts w:cs="Arial"/>
                <w:b/>
                <w:bCs/>
                <w:color w:val="272727"/>
                <w:sz w:val="22"/>
                <w:szCs w:val="22"/>
                <w:lang w:bidi="en-US"/>
              </w:rPr>
              <w:t>Name</w:t>
            </w:r>
          </w:p>
        </w:tc>
        <w:tc>
          <w:tcPr>
            <w:tcW w:w="2257" w:type="dxa"/>
          </w:tcPr>
          <w:p w14:paraId="21FCB4C3" w14:textId="77777777" w:rsidR="00B62D46" w:rsidRPr="006B3FD0" w:rsidRDefault="00B62D46" w:rsidP="00857D84">
            <w:pPr>
              <w:jc w:val="center"/>
              <w:rPr>
                <w:rFonts w:cs="Arial"/>
                <w:b/>
                <w:bCs/>
                <w:color w:val="272727"/>
                <w:szCs w:val="22"/>
                <w:lang w:bidi="en-US"/>
              </w:rPr>
            </w:pPr>
            <w:r w:rsidRPr="006B3FD0">
              <w:rPr>
                <w:rFonts w:cs="Arial"/>
                <w:b/>
                <w:bCs/>
                <w:color w:val="272727"/>
                <w:szCs w:val="22"/>
                <w:lang w:bidi="en-US"/>
              </w:rPr>
              <w:t>Position</w:t>
            </w:r>
          </w:p>
        </w:tc>
        <w:tc>
          <w:tcPr>
            <w:tcW w:w="2256" w:type="dxa"/>
          </w:tcPr>
          <w:p w14:paraId="76AF5E66" w14:textId="77777777" w:rsidR="00B62D46" w:rsidRPr="006B3FD0" w:rsidRDefault="00B62D46" w:rsidP="00857D84">
            <w:pPr>
              <w:jc w:val="center"/>
              <w:rPr>
                <w:rFonts w:cs="Arial"/>
                <w:b/>
                <w:bCs/>
                <w:color w:val="272727"/>
                <w:sz w:val="22"/>
                <w:szCs w:val="22"/>
                <w:lang w:bidi="en-US"/>
              </w:rPr>
            </w:pPr>
            <w:r w:rsidRPr="006B3FD0">
              <w:rPr>
                <w:rFonts w:cs="Arial"/>
                <w:b/>
                <w:bCs/>
                <w:color w:val="272727"/>
                <w:sz w:val="22"/>
                <w:szCs w:val="22"/>
                <w:lang w:bidi="en-US"/>
              </w:rPr>
              <w:t>Signature</w:t>
            </w:r>
          </w:p>
        </w:tc>
        <w:tc>
          <w:tcPr>
            <w:tcW w:w="2257" w:type="dxa"/>
          </w:tcPr>
          <w:p w14:paraId="40C56CC9" w14:textId="77777777" w:rsidR="00B62D46" w:rsidRPr="006B3FD0" w:rsidRDefault="00B62D46" w:rsidP="00857D84">
            <w:pPr>
              <w:jc w:val="center"/>
              <w:rPr>
                <w:rFonts w:cs="Arial"/>
                <w:b/>
                <w:bCs/>
                <w:color w:val="272727"/>
                <w:sz w:val="22"/>
                <w:szCs w:val="22"/>
                <w:lang w:bidi="en-US"/>
              </w:rPr>
            </w:pPr>
            <w:r w:rsidRPr="006B3FD0">
              <w:rPr>
                <w:rFonts w:cs="Arial"/>
                <w:b/>
                <w:bCs/>
                <w:color w:val="272727"/>
                <w:sz w:val="22"/>
                <w:szCs w:val="22"/>
                <w:lang w:bidi="en-US"/>
              </w:rPr>
              <w:t>Date</w:t>
            </w:r>
          </w:p>
        </w:tc>
      </w:tr>
      <w:tr w:rsidR="00B62D46" w:rsidRPr="006B3FD0" w14:paraId="0882E6D1" w14:textId="77777777" w:rsidTr="00FE7B97">
        <w:trPr>
          <w:cnfStyle w:val="000000010000" w:firstRow="0" w:lastRow="0" w:firstColumn="0" w:lastColumn="0" w:oddVBand="0" w:evenVBand="0" w:oddHBand="0" w:evenHBand="1" w:firstRowFirstColumn="0" w:firstRowLastColumn="0" w:lastRowFirstColumn="0" w:lastRowLastColumn="0"/>
        </w:trPr>
        <w:tc>
          <w:tcPr>
            <w:tcW w:w="2256" w:type="dxa"/>
            <w:shd w:val="clear" w:color="auto" w:fill="E7E6E6" w:themeFill="background2"/>
          </w:tcPr>
          <w:p w14:paraId="092CBB0C" w14:textId="0C9780AE" w:rsidR="00B62D46" w:rsidRPr="006B3FD0" w:rsidRDefault="00B62D46" w:rsidP="00857D84">
            <w:pPr>
              <w:jc w:val="center"/>
              <w:rPr>
                <w:rFonts w:cs="Arial"/>
                <w:sz w:val="22"/>
                <w:szCs w:val="22"/>
                <w:lang w:bidi="en-US"/>
              </w:rPr>
            </w:pPr>
          </w:p>
        </w:tc>
        <w:tc>
          <w:tcPr>
            <w:tcW w:w="2257" w:type="dxa"/>
            <w:shd w:val="clear" w:color="auto" w:fill="E7E6E6" w:themeFill="background2"/>
          </w:tcPr>
          <w:p w14:paraId="14107522" w14:textId="2B30547A" w:rsidR="00B62D46" w:rsidRPr="006B3FD0" w:rsidRDefault="00B62D46" w:rsidP="00857D84">
            <w:pPr>
              <w:jc w:val="center"/>
              <w:rPr>
                <w:rFonts w:cs="Arial"/>
                <w:szCs w:val="22"/>
                <w:lang w:bidi="en-US"/>
              </w:rPr>
            </w:pPr>
          </w:p>
        </w:tc>
        <w:tc>
          <w:tcPr>
            <w:tcW w:w="2256" w:type="dxa"/>
            <w:shd w:val="clear" w:color="auto" w:fill="E7E6E6" w:themeFill="background2"/>
          </w:tcPr>
          <w:p w14:paraId="566A4E8D" w14:textId="77777777" w:rsidR="00B62D46" w:rsidRPr="006B3FD0" w:rsidRDefault="00B62D46" w:rsidP="00857D84">
            <w:pPr>
              <w:jc w:val="center"/>
              <w:rPr>
                <w:rFonts w:cs="Arial"/>
                <w:sz w:val="22"/>
                <w:szCs w:val="22"/>
                <w:lang w:bidi="en-US"/>
              </w:rPr>
            </w:pPr>
          </w:p>
        </w:tc>
        <w:tc>
          <w:tcPr>
            <w:tcW w:w="2257" w:type="dxa"/>
            <w:shd w:val="clear" w:color="auto" w:fill="E7E6E6" w:themeFill="background2"/>
          </w:tcPr>
          <w:p w14:paraId="47544FB6" w14:textId="77777777" w:rsidR="00B62D46" w:rsidRPr="006B3FD0" w:rsidRDefault="00B62D46" w:rsidP="00857D84">
            <w:pPr>
              <w:jc w:val="center"/>
              <w:rPr>
                <w:rFonts w:cs="Arial"/>
                <w:sz w:val="22"/>
                <w:szCs w:val="22"/>
                <w:lang w:bidi="en-US"/>
              </w:rPr>
            </w:pPr>
          </w:p>
        </w:tc>
      </w:tr>
      <w:tr w:rsidR="00B62D46" w:rsidRPr="006B3FD0" w14:paraId="5AC94FF9" w14:textId="77777777" w:rsidTr="00857D84">
        <w:trPr>
          <w:cnfStyle w:val="000000100000" w:firstRow="0" w:lastRow="0" w:firstColumn="0" w:lastColumn="0" w:oddVBand="0" w:evenVBand="0" w:oddHBand="1" w:evenHBand="0" w:firstRowFirstColumn="0" w:firstRowLastColumn="0" w:lastRowFirstColumn="0" w:lastRowLastColumn="0"/>
        </w:trPr>
        <w:tc>
          <w:tcPr>
            <w:tcW w:w="2256" w:type="dxa"/>
          </w:tcPr>
          <w:p w14:paraId="20DD9068" w14:textId="782587CF" w:rsidR="00B62D46" w:rsidRPr="006B3FD0" w:rsidRDefault="00B62D46" w:rsidP="00857D84">
            <w:pPr>
              <w:jc w:val="center"/>
              <w:rPr>
                <w:rFonts w:cs="Arial"/>
              </w:rPr>
            </w:pPr>
          </w:p>
        </w:tc>
        <w:tc>
          <w:tcPr>
            <w:tcW w:w="2257" w:type="dxa"/>
          </w:tcPr>
          <w:p w14:paraId="6EF9AD43" w14:textId="52D818F1" w:rsidR="00B62D46" w:rsidRPr="006B3FD0" w:rsidRDefault="00B62D46" w:rsidP="00857D84">
            <w:pPr>
              <w:jc w:val="center"/>
              <w:rPr>
                <w:rFonts w:cs="Arial"/>
                <w:color w:val="272727"/>
                <w:sz w:val="22"/>
                <w:szCs w:val="22"/>
                <w:lang w:bidi="en-US"/>
              </w:rPr>
            </w:pPr>
          </w:p>
        </w:tc>
        <w:tc>
          <w:tcPr>
            <w:tcW w:w="2256" w:type="dxa"/>
          </w:tcPr>
          <w:p w14:paraId="7B78C81D" w14:textId="77777777" w:rsidR="00B62D46" w:rsidRPr="006B3FD0" w:rsidRDefault="00B62D46" w:rsidP="00857D84">
            <w:pPr>
              <w:jc w:val="center"/>
              <w:rPr>
                <w:rFonts w:cs="Arial"/>
                <w:color w:val="272727"/>
                <w:sz w:val="22"/>
                <w:szCs w:val="22"/>
                <w:lang w:bidi="en-US"/>
              </w:rPr>
            </w:pPr>
          </w:p>
        </w:tc>
        <w:tc>
          <w:tcPr>
            <w:tcW w:w="2257" w:type="dxa"/>
          </w:tcPr>
          <w:p w14:paraId="63A20C93" w14:textId="77777777" w:rsidR="00B62D46" w:rsidRPr="006B3FD0" w:rsidRDefault="00B62D46" w:rsidP="00857D84">
            <w:pPr>
              <w:jc w:val="center"/>
              <w:rPr>
                <w:rFonts w:cs="Arial"/>
                <w:color w:val="272727"/>
                <w:sz w:val="22"/>
                <w:szCs w:val="22"/>
                <w:lang w:bidi="en-US"/>
              </w:rPr>
            </w:pPr>
          </w:p>
        </w:tc>
      </w:tr>
    </w:tbl>
    <w:p w14:paraId="780DE4DC" w14:textId="77777777" w:rsidR="00B62D46" w:rsidRPr="006B3FD0" w:rsidRDefault="00B62D46" w:rsidP="008D29BD">
      <w:pPr>
        <w:pStyle w:val="Heading1"/>
        <w:rPr>
          <w:rFonts w:ascii="Arial" w:hAnsi="Arial"/>
        </w:rPr>
      </w:pPr>
    </w:p>
    <w:p w14:paraId="4811D138" w14:textId="77777777" w:rsidR="00B62D46" w:rsidRPr="006B3FD0" w:rsidRDefault="00B62D46" w:rsidP="00B62D46">
      <w:pPr>
        <w:rPr>
          <w:rFonts w:cs="Arial"/>
        </w:rPr>
      </w:pPr>
    </w:p>
    <w:p w14:paraId="2A5CD46E" w14:textId="017CE165" w:rsidR="00825FE2" w:rsidRPr="00A04F7F" w:rsidRDefault="00825FE2" w:rsidP="00B62D46">
      <w:pPr>
        <w:rPr>
          <w:rFonts w:cs="Arial"/>
          <w:b/>
          <w:bCs/>
          <w:color w:val="46DCDC" w:themeColor="accent1"/>
          <w:sz w:val="44"/>
          <w:szCs w:val="44"/>
        </w:rPr>
      </w:pPr>
    </w:p>
    <w:sectPr w:rsidR="00825FE2" w:rsidRPr="00A04F7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6C3D" w14:textId="77777777" w:rsidR="00E514F0" w:rsidRDefault="00E514F0" w:rsidP="00C1131A">
      <w:r>
        <w:separator/>
      </w:r>
    </w:p>
  </w:endnote>
  <w:endnote w:type="continuationSeparator" w:id="0">
    <w:p w14:paraId="58F33D14" w14:textId="77777777" w:rsidR="00E514F0" w:rsidRDefault="00E514F0"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ckwell Light">
    <w:charset w:val="00"/>
    <w:family w:val="roman"/>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629392"/>
      <w:docPartObj>
        <w:docPartGallery w:val="Page Numbers (Bottom of Page)"/>
        <w:docPartUnique/>
      </w:docPartObj>
    </w:sdtPr>
    <w:sdtEndPr>
      <w:rPr>
        <w:color w:val="7F7F7F" w:themeColor="background1" w:themeShade="7F"/>
        <w:spacing w:val="60"/>
      </w:rPr>
    </w:sdtEndPr>
    <w:sdtContent>
      <w:p w14:paraId="5A2C2DE3" w14:textId="6EA7E971" w:rsidR="00F36AD2" w:rsidRDefault="00F36AD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A0819DB" w14:textId="77777777" w:rsidR="00B62D46" w:rsidRDefault="00B62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F36AD2" w:rsidRPr="009A3BCA" w14:paraId="6E75F34B" w14:textId="77777777" w:rsidTr="00857D84">
      <w:trPr>
        <w:trHeight w:val="284"/>
      </w:trPr>
      <w:tc>
        <w:tcPr>
          <w:tcW w:w="2171" w:type="pct"/>
          <w:tcMar>
            <w:left w:w="0" w:type="dxa"/>
            <w:right w:w="0" w:type="dxa"/>
          </w:tcMar>
          <w:vAlign w:val="bottom"/>
        </w:tcPr>
        <w:p w14:paraId="3CBB7A2B" w14:textId="77777777" w:rsidR="00F36AD2" w:rsidRPr="00416BBD" w:rsidRDefault="00F36AD2" w:rsidP="00F36AD2">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7F4AAA58" w14:textId="640EECFB" w:rsidR="00F36AD2" w:rsidRPr="00416BBD" w:rsidRDefault="00F36AD2" w:rsidP="00F36AD2">
          <w:pPr>
            <w:pStyle w:val="Header"/>
            <w:spacing w:before="200" w:after="0" w:line="240" w:lineRule="auto"/>
            <w:jc w:val="right"/>
            <w:rPr>
              <w:color w:val="000000" w:themeColor="text1"/>
              <w:sz w:val="18"/>
              <w:szCs w:val="18"/>
            </w:rPr>
          </w:pPr>
          <w:r w:rsidRPr="00416BBD">
            <w:rPr>
              <w:color w:val="000000" w:themeColor="text1"/>
              <w:sz w:val="18"/>
              <w:szCs w:val="18"/>
            </w:rPr>
            <w:t>Version</w:t>
          </w:r>
          <w:r w:rsidR="008B4F72">
            <w:rPr>
              <w:color w:val="000000" w:themeColor="text1"/>
              <w:sz w:val="18"/>
              <w:szCs w:val="18"/>
            </w:rPr>
            <w:t xml:space="preserve">: </w:t>
          </w:r>
          <w:r>
            <w:rPr>
              <w:color w:val="000000" w:themeColor="text1"/>
              <w:sz w:val="18"/>
              <w:szCs w:val="18"/>
            </w:rPr>
            <w:t>April 202</w:t>
          </w:r>
          <w:r w:rsidR="00C53657">
            <w:rPr>
              <w:color w:val="000000" w:themeColor="text1"/>
              <w:sz w:val="18"/>
              <w:szCs w:val="18"/>
            </w:rPr>
            <w:t>6</w:t>
          </w:r>
        </w:p>
      </w:tc>
    </w:tr>
  </w:tbl>
  <w:p w14:paraId="1159EAC1" w14:textId="77777777" w:rsidR="00FB50D1" w:rsidRDefault="00FB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1706" w14:textId="77777777" w:rsidR="00E514F0" w:rsidRDefault="00E514F0" w:rsidP="00C1131A">
      <w:r>
        <w:separator/>
      </w:r>
    </w:p>
  </w:footnote>
  <w:footnote w:type="continuationSeparator" w:id="0">
    <w:p w14:paraId="2516392F" w14:textId="77777777" w:rsidR="00E514F0" w:rsidRDefault="00E514F0" w:rsidP="00C1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302679"/>
    <w:multiLevelType w:val="hybridMultilevel"/>
    <w:tmpl w:val="E772A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00214"/>
    <w:multiLevelType w:val="hybridMultilevel"/>
    <w:tmpl w:val="CE227B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91C4D"/>
    <w:multiLevelType w:val="multilevel"/>
    <w:tmpl w:val="B5D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52F72"/>
    <w:multiLevelType w:val="hybridMultilevel"/>
    <w:tmpl w:val="AFCA894A"/>
    <w:lvl w:ilvl="0" w:tplc="28E42F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F34D7"/>
    <w:multiLevelType w:val="multilevel"/>
    <w:tmpl w:val="CB5E4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50561"/>
    <w:multiLevelType w:val="hybridMultilevel"/>
    <w:tmpl w:val="F6D2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DB5DDE"/>
    <w:multiLevelType w:val="hybridMultilevel"/>
    <w:tmpl w:val="CEF874D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212924"/>
    <w:multiLevelType w:val="hybridMultilevel"/>
    <w:tmpl w:val="0B7E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601F3"/>
    <w:multiLevelType w:val="hybridMultilevel"/>
    <w:tmpl w:val="C9CAEA5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372AF"/>
    <w:multiLevelType w:val="hybridMultilevel"/>
    <w:tmpl w:val="DF963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6A53921"/>
    <w:multiLevelType w:val="multilevel"/>
    <w:tmpl w:val="B82E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D2D54D5"/>
    <w:multiLevelType w:val="hybridMultilevel"/>
    <w:tmpl w:val="658E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735AA2"/>
    <w:multiLevelType w:val="hybridMultilevel"/>
    <w:tmpl w:val="127A3A32"/>
    <w:lvl w:ilvl="0" w:tplc="4F76D54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31D89"/>
    <w:multiLevelType w:val="hybridMultilevel"/>
    <w:tmpl w:val="9C5E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6636C2"/>
    <w:multiLevelType w:val="multilevel"/>
    <w:tmpl w:val="D7DA6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E64E2F"/>
    <w:multiLevelType w:val="multilevel"/>
    <w:tmpl w:val="2968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F6E29"/>
    <w:multiLevelType w:val="multilevel"/>
    <w:tmpl w:val="E42E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5D1296"/>
    <w:multiLevelType w:val="hybridMultilevel"/>
    <w:tmpl w:val="9374486A"/>
    <w:lvl w:ilvl="0" w:tplc="B5620B90">
      <w:start w:val="1"/>
      <w:numFmt w:val="bullet"/>
      <w:lvlText w:val=""/>
      <w:lvlJc w:val="left"/>
      <w:pPr>
        <w:ind w:left="720" w:hanging="360"/>
      </w:pPr>
      <w:rPr>
        <w:rFonts w:ascii="Symbol" w:hAnsi="Symbol" w:hint="default"/>
        <w:color w:val="00768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DE7067"/>
    <w:multiLevelType w:val="hybridMultilevel"/>
    <w:tmpl w:val="FE8605C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2942"/>
    <w:multiLevelType w:val="hybridMultilevel"/>
    <w:tmpl w:val="E79E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E157B6"/>
    <w:multiLevelType w:val="multilevel"/>
    <w:tmpl w:val="5830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8E3509"/>
    <w:multiLevelType w:val="multilevel"/>
    <w:tmpl w:val="B77C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0A1321"/>
    <w:multiLevelType w:val="multilevel"/>
    <w:tmpl w:val="2190D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F7052C"/>
    <w:multiLevelType w:val="hybridMultilevel"/>
    <w:tmpl w:val="4B602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D4F24"/>
    <w:multiLevelType w:val="hybridMultilevel"/>
    <w:tmpl w:val="B962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3417C"/>
    <w:multiLevelType w:val="multilevel"/>
    <w:tmpl w:val="C34A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045F61"/>
    <w:multiLevelType w:val="multilevel"/>
    <w:tmpl w:val="AA947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E053E1"/>
    <w:multiLevelType w:val="multilevel"/>
    <w:tmpl w:val="495A7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5C2605"/>
    <w:multiLevelType w:val="multilevel"/>
    <w:tmpl w:val="A2C8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E05CBC"/>
    <w:multiLevelType w:val="hybridMultilevel"/>
    <w:tmpl w:val="B450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7220C"/>
    <w:multiLevelType w:val="hybridMultilevel"/>
    <w:tmpl w:val="D01415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768740260">
    <w:abstractNumId w:val="0"/>
  </w:num>
  <w:num w:numId="2" w16cid:durableId="328413355">
    <w:abstractNumId w:val="1"/>
  </w:num>
  <w:num w:numId="3" w16cid:durableId="625239955">
    <w:abstractNumId w:val="7"/>
  </w:num>
  <w:num w:numId="4" w16cid:durableId="782842746">
    <w:abstractNumId w:val="40"/>
  </w:num>
  <w:num w:numId="5" w16cid:durableId="237175768">
    <w:abstractNumId w:val="7"/>
  </w:num>
  <w:num w:numId="6" w16cid:durableId="1806973292">
    <w:abstractNumId w:val="18"/>
  </w:num>
  <w:num w:numId="7" w16cid:durableId="2080593760">
    <w:abstractNumId w:val="13"/>
  </w:num>
  <w:num w:numId="8" w16cid:durableId="1620794711">
    <w:abstractNumId w:val="38"/>
  </w:num>
  <w:num w:numId="9" w16cid:durableId="53820383">
    <w:abstractNumId w:val="9"/>
  </w:num>
  <w:num w:numId="10" w16cid:durableId="144705351">
    <w:abstractNumId w:val="17"/>
  </w:num>
  <w:num w:numId="11" w16cid:durableId="754282052">
    <w:abstractNumId w:val="24"/>
  </w:num>
  <w:num w:numId="12" w16cid:durableId="1261522663">
    <w:abstractNumId w:val="15"/>
  </w:num>
  <w:num w:numId="13" w16cid:durableId="23289869">
    <w:abstractNumId w:val="19"/>
  </w:num>
  <w:num w:numId="14" w16cid:durableId="1630890874">
    <w:abstractNumId w:val="32"/>
  </w:num>
  <w:num w:numId="15" w16cid:durableId="463237112">
    <w:abstractNumId w:val="37"/>
  </w:num>
  <w:num w:numId="16" w16cid:durableId="658971617">
    <w:abstractNumId w:val="38"/>
    <w:lvlOverride w:ilvl="0">
      <w:startOverride w:val="1"/>
    </w:lvlOverride>
  </w:num>
  <w:num w:numId="17" w16cid:durableId="1870684940">
    <w:abstractNumId w:val="14"/>
  </w:num>
  <w:num w:numId="18" w16cid:durableId="1770194781">
    <w:abstractNumId w:val="5"/>
  </w:num>
  <w:num w:numId="19" w16cid:durableId="1604193770">
    <w:abstractNumId w:val="12"/>
  </w:num>
  <w:num w:numId="20" w16cid:durableId="1768766731">
    <w:abstractNumId w:val="10"/>
  </w:num>
  <w:num w:numId="21" w16cid:durableId="1222519345">
    <w:abstractNumId w:val="28"/>
  </w:num>
  <w:num w:numId="22" w16cid:durableId="75371252">
    <w:abstractNumId w:val="3"/>
  </w:num>
  <w:num w:numId="23" w16cid:durableId="1984381379">
    <w:abstractNumId w:val="23"/>
  </w:num>
  <w:num w:numId="24" w16cid:durableId="1974484802">
    <w:abstractNumId w:val="2"/>
  </w:num>
  <w:num w:numId="25" w16cid:durableId="1971595624">
    <w:abstractNumId w:val="21"/>
  </w:num>
  <w:num w:numId="26" w16cid:durableId="577207772">
    <w:abstractNumId w:val="27"/>
  </w:num>
  <w:num w:numId="27" w16cid:durableId="1272014911">
    <w:abstractNumId w:val="25"/>
  </w:num>
  <w:num w:numId="28" w16cid:durableId="540672834">
    <w:abstractNumId w:val="4"/>
  </w:num>
  <w:num w:numId="29" w16cid:durableId="909657845">
    <w:abstractNumId w:val="43"/>
  </w:num>
  <w:num w:numId="30" w16cid:durableId="19817635">
    <w:abstractNumId w:val="44"/>
  </w:num>
  <w:num w:numId="31" w16cid:durableId="971516978">
    <w:abstractNumId w:val="22"/>
  </w:num>
  <w:num w:numId="32" w16cid:durableId="1055205051">
    <w:abstractNumId w:val="11"/>
  </w:num>
  <w:num w:numId="33" w16cid:durableId="369957122">
    <w:abstractNumId w:val="8"/>
  </w:num>
  <w:num w:numId="34" w16cid:durableId="1106999226">
    <w:abstractNumId w:val="34"/>
  </w:num>
  <w:num w:numId="35" w16cid:durableId="1879781816">
    <w:abstractNumId w:val="20"/>
  </w:num>
  <w:num w:numId="36" w16cid:durableId="857350690">
    <w:abstractNumId w:val="36"/>
  </w:num>
  <w:num w:numId="37" w16cid:durableId="403181433">
    <w:abstractNumId w:val="29"/>
  </w:num>
  <w:num w:numId="38" w16cid:durableId="1743913510">
    <w:abstractNumId w:val="6"/>
  </w:num>
  <w:num w:numId="39" w16cid:durableId="1922174588">
    <w:abstractNumId w:val="35"/>
  </w:num>
  <w:num w:numId="40" w16cid:durableId="618294470">
    <w:abstractNumId w:val="33"/>
  </w:num>
  <w:num w:numId="41" w16cid:durableId="1307736947">
    <w:abstractNumId w:val="41"/>
  </w:num>
  <w:num w:numId="42" w16cid:durableId="24916920">
    <w:abstractNumId w:val="26"/>
  </w:num>
  <w:num w:numId="43" w16cid:durableId="1692802760">
    <w:abstractNumId w:val="39"/>
  </w:num>
  <w:num w:numId="44" w16cid:durableId="1249776702">
    <w:abstractNumId w:val="16"/>
  </w:num>
  <w:num w:numId="45" w16cid:durableId="1724868003">
    <w:abstractNumId w:val="30"/>
  </w:num>
  <w:num w:numId="46" w16cid:durableId="1883131919">
    <w:abstractNumId w:val="31"/>
  </w:num>
  <w:num w:numId="47" w16cid:durableId="150381426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94"/>
    <w:rsid w:val="00011EB6"/>
    <w:rsid w:val="0002602B"/>
    <w:rsid w:val="00040EA7"/>
    <w:rsid w:val="000463B8"/>
    <w:rsid w:val="00047D60"/>
    <w:rsid w:val="00054737"/>
    <w:rsid w:val="00060A46"/>
    <w:rsid w:val="00082503"/>
    <w:rsid w:val="0008395F"/>
    <w:rsid w:val="00097EAF"/>
    <w:rsid w:val="000A21DD"/>
    <w:rsid w:val="000B2710"/>
    <w:rsid w:val="000B381A"/>
    <w:rsid w:val="000B4211"/>
    <w:rsid w:val="000C1E85"/>
    <w:rsid w:val="000C4D5A"/>
    <w:rsid w:val="000F0DD0"/>
    <w:rsid w:val="000F746F"/>
    <w:rsid w:val="00100177"/>
    <w:rsid w:val="00116A05"/>
    <w:rsid w:val="001237D3"/>
    <w:rsid w:val="0012417B"/>
    <w:rsid w:val="00136683"/>
    <w:rsid w:val="00142111"/>
    <w:rsid w:val="0014389D"/>
    <w:rsid w:val="00153468"/>
    <w:rsid w:val="001628BF"/>
    <w:rsid w:val="00167D64"/>
    <w:rsid w:val="00176598"/>
    <w:rsid w:val="00177E34"/>
    <w:rsid w:val="00182C04"/>
    <w:rsid w:val="00184BED"/>
    <w:rsid w:val="001868F0"/>
    <w:rsid w:val="001911BD"/>
    <w:rsid w:val="001A3B34"/>
    <w:rsid w:val="001A3BDC"/>
    <w:rsid w:val="001A778D"/>
    <w:rsid w:val="001B6DDA"/>
    <w:rsid w:val="001C1CA2"/>
    <w:rsid w:val="001C3234"/>
    <w:rsid w:val="001D5FCC"/>
    <w:rsid w:val="001E6261"/>
    <w:rsid w:val="001F348B"/>
    <w:rsid w:val="0020157C"/>
    <w:rsid w:val="002033AE"/>
    <w:rsid w:val="002057F1"/>
    <w:rsid w:val="0021711D"/>
    <w:rsid w:val="0022329F"/>
    <w:rsid w:val="00223864"/>
    <w:rsid w:val="00227BFB"/>
    <w:rsid w:val="00230273"/>
    <w:rsid w:val="00241070"/>
    <w:rsid w:val="00242E7E"/>
    <w:rsid w:val="00245AC2"/>
    <w:rsid w:val="00257E30"/>
    <w:rsid w:val="0026141D"/>
    <w:rsid w:val="00262976"/>
    <w:rsid w:val="00266987"/>
    <w:rsid w:val="00266AAB"/>
    <w:rsid w:val="0026717C"/>
    <w:rsid w:val="002743B6"/>
    <w:rsid w:val="00276DA5"/>
    <w:rsid w:val="00277768"/>
    <w:rsid w:val="0028209D"/>
    <w:rsid w:val="002930BC"/>
    <w:rsid w:val="002931CD"/>
    <w:rsid w:val="002935F3"/>
    <w:rsid w:val="002A0EBE"/>
    <w:rsid w:val="002A2D26"/>
    <w:rsid w:val="002A5A64"/>
    <w:rsid w:val="002B3315"/>
    <w:rsid w:val="002B4996"/>
    <w:rsid w:val="002B700A"/>
    <w:rsid w:val="002C48FE"/>
    <w:rsid w:val="002C564D"/>
    <w:rsid w:val="002D4BAC"/>
    <w:rsid w:val="002E0A5F"/>
    <w:rsid w:val="002E3F87"/>
    <w:rsid w:val="002E73C1"/>
    <w:rsid w:val="002F2841"/>
    <w:rsid w:val="002F2B8A"/>
    <w:rsid w:val="002F7B51"/>
    <w:rsid w:val="00313C42"/>
    <w:rsid w:val="00322A76"/>
    <w:rsid w:val="00325289"/>
    <w:rsid w:val="00325E1C"/>
    <w:rsid w:val="00330C0C"/>
    <w:rsid w:val="0033267F"/>
    <w:rsid w:val="0033278D"/>
    <w:rsid w:val="0035389B"/>
    <w:rsid w:val="003565E6"/>
    <w:rsid w:val="0036044E"/>
    <w:rsid w:val="00372E88"/>
    <w:rsid w:val="00375E20"/>
    <w:rsid w:val="003832F6"/>
    <w:rsid w:val="003838C6"/>
    <w:rsid w:val="00383E90"/>
    <w:rsid w:val="003A4243"/>
    <w:rsid w:val="003A4D26"/>
    <w:rsid w:val="003A5918"/>
    <w:rsid w:val="003A5E22"/>
    <w:rsid w:val="003B100B"/>
    <w:rsid w:val="003C386D"/>
    <w:rsid w:val="003C3CC2"/>
    <w:rsid w:val="003D5D40"/>
    <w:rsid w:val="003E7CA4"/>
    <w:rsid w:val="0040050A"/>
    <w:rsid w:val="00412D3E"/>
    <w:rsid w:val="00415158"/>
    <w:rsid w:val="00416E27"/>
    <w:rsid w:val="00421516"/>
    <w:rsid w:val="00421BF0"/>
    <w:rsid w:val="004343AF"/>
    <w:rsid w:val="004437C4"/>
    <w:rsid w:val="004564D0"/>
    <w:rsid w:val="00464403"/>
    <w:rsid w:val="00470FD0"/>
    <w:rsid w:val="00470FDF"/>
    <w:rsid w:val="00471F38"/>
    <w:rsid w:val="004772A9"/>
    <w:rsid w:val="00481E5C"/>
    <w:rsid w:val="00485568"/>
    <w:rsid w:val="004871DC"/>
    <w:rsid w:val="00497058"/>
    <w:rsid w:val="004A19EE"/>
    <w:rsid w:val="004B0722"/>
    <w:rsid w:val="004B1C29"/>
    <w:rsid w:val="004B39C3"/>
    <w:rsid w:val="004C040C"/>
    <w:rsid w:val="004D54C6"/>
    <w:rsid w:val="004E092F"/>
    <w:rsid w:val="004E319A"/>
    <w:rsid w:val="004E56B6"/>
    <w:rsid w:val="005004E9"/>
    <w:rsid w:val="005005E6"/>
    <w:rsid w:val="005012CC"/>
    <w:rsid w:val="00504F1C"/>
    <w:rsid w:val="005129A8"/>
    <w:rsid w:val="00512B03"/>
    <w:rsid w:val="00516B28"/>
    <w:rsid w:val="005172A8"/>
    <w:rsid w:val="005174A9"/>
    <w:rsid w:val="00522A24"/>
    <w:rsid w:val="00525C97"/>
    <w:rsid w:val="00542249"/>
    <w:rsid w:val="00551BA5"/>
    <w:rsid w:val="00556819"/>
    <w:rsid w:val="00562F54"/>
    <w:rsid w:val="005635BF"/>
    <w:rsid w:val="0056366E"/>
    <w:rsid w:val="0056674C"/>
    <w:rsid w:val="00575C46"/>
    <w:rsid w:val="00583C94"/>
    <w:rsid w:val="00584489"/>
    <w:rsid w:val="00585728"/>
    <w:rsid w:val="005858FF"/>
    <w:rsid w:val="00585F79"/>
    <w:rsid w:val="005860BC"/>
    <w:rsid w:val="005A0E9E"/>
    <w:rsid w:val="005A2F1D"/>
    <w:rsid w:val="005B0746"/>
    <w:rsid w:val="005B43B4"/>
    <w:rsid w:val="005C6511"/>
    <w:rsid w:val="005D0195"/>
    <w:rsid w:val="005E08E5"/>
    <w:rsid w:val="005E1021"/>
    <w:rsid w:val="005E16BD"/>
    <w:rsid w:val="005E1C16"/>
    <w:rsid w:val="005E6B9E"/>
    <w:rsid w:val="00612487"/>
    <w:rsid w:val="00620F5E"/>
    <w:rsid w:val="00621A1E"/>
    <w:rsid w:val="00623566"/>
    <w:rsid w:val="00623C38"/>
    <w:rsid w:val="00636AF8"/>
    <w:rsid w:val="00655A7A"/>
    <w:rsid w:val="00671798"/>
    <w:rsid w:val="00672722"/>
    <w:rsid w:val="00693F5C"/>
    <w:rsid w:val="00694A55"/>
    <w:rsid w:val="006A02D0"/>
    <w:rsid w:val="006B3FD0"/>
    <w:rsid w:val="006B4D65"/>
    <w:rsid w:val="006B61B3"/>
    <w:rsid w:val="006D0071"/>
    <w:rsid w:val="006D1EBF"/>
    <w:rsid w:val="006D3302"/>
    <w:rsid w:val="006E2476"/>
    <w:rsid w:val="006E5C2F"/>
    <w:rsid w:val="0070340B"/>
    <w:rsid w:val="00705D72"/>
    <w:rsid w:val="00714F23"/>
    <w:rsid w:val="00715292"/>
    <w:rsid w:val="00717D47"/>
    <w:rsid w:val="0075087B"/>
    <w:rsid w:val="00766014"/>
    <w:rsid w:val="00771E9A"/>
    <w:rsid w:val="00782A81"/>
    <w:rsid w:val="007849FD"/>
    <w:rsid w:val="0079483A"/>
    <w:rsid w:val="0079793E"/>
    <w:rsid w:val="007B2E16"/>
    <w:rsid w:val="007C1751"/>
    <w:rsid w:val="007C37D6"/>
    <w:rsid w:val="007D237C"/>
    <w:rsid w:val="007E5347"/>
    <w:rsid w:val="007F7B02"/>
    <w:rsid w:val="008024C7"/>
    <w:rsid w:val="00825FE2"/>
    <w:rsid w:val="008269E6"/>
    <w:rsid w:val="00832BC2"/>
    <w:rsid w:val="00836F97"/>
    <w:rsid w:val="008371CB"/>
    <w:rsid w:val="0084289E"/>
    <w:rsid w:val="008465D4"/>
    <w:rsid w:val="00856430"/>
    <w:rsid w:val="0085731D"/>
    <w:rsid w:val="00871AE4"/>
    <w:rsid w:val="00885F26"/>
    <w:rsid w:val="008860FC"/>
    <w:rsid w:val="008877E4"/>
    <w:rsid w:val="0089199F"/>
    <w:rsid w:val="0089751D"/>
    <w:rsid w:val="008A2814"/>
    <w:rsid w:val="008B4F72"/>
    <w:rsid w:val="008C0269"/>
    <w:rsid w:val="008C21AA"/>
    <w:rsid w:val="008C6D1D"/>
    <w:rsid w:val="008D29BD"/>
    <w:rsid w:val="008D7892"/>
    <w:rsid w:val="008E4480"/>
    <w:rsid w:val="008F7BCB"/>
    <w:rsid w:val="00900040"/>
    <w:rsid w:val="00900908"/>
    <w:rsid w:val="009031F1"/>
    <w:rsid w:val="0091008E"/>
    <w:rsid w:val="009147B8"/>
    <w:rsid w:val="00921689"/>
    <w:rsid w:val="0092227D"/>
    <w:rsid w:val="00930D29"/>
    <w:rsid w:val="00931A21"/>
    <w:rsid w:val="009437A4"/>
    <w:rsid w:val="0095645A"/>
    <w:rsid w:val="00967830"/>
    <w:rsid w:val="00973B88"/>
    <w:rsid w:val="009741CA"/>
    <w:rsid w:val="00975836"/>
    <w:rsid w:val="00975938"/>
    <w:rsid w:val="00981E9E"/>
    <w:rsid w:val="009907DD"/>
    <w:rsid w:val="00990CAB"/>
    <w:rsid w:val="00994C98"/>
    <w:rsid w:val="009A3185"/>
    <w:rsid w:val="009A760F"/>
    <w:rsid w:val="009B0303"/>
    <w:rsid w:val="009C33FA"/>
    <w:rsid w:val="009C5EC7"/>
    <w:rsid w:val="009C7199"/>
    <w:rsid w:val="009D3015"/>
    <w:rsid w:val="009D695C"/>
    <w:rsid w:val="009E10CA"/>
    <w:rsid w:val="009F01F9"/>
    <w:rsid w:val="00A01462"/>
    <w:rsid w:val="00A04F7F"/>
    <w:rsid w:val="00A076CD"/>
    <w:rsid w:val="00A174F5"/>
    <w:rsid w:val="00A338FA"/>
    <w:rsid w:val="00A36D1C"/>
    <w:rsid w:val="00A41EA8"/>
    <w:rsid w:val="00A46FC2"/>
    <w:rsid w:val="00A52327"/>
    <w:rsid w:val="00A53974"/>
    <w:rsid w:val="00A56FB3"/>
    <w:rsid w:val="00A622CC"/>
    <w:rsid w:val="00A63F06"/>
    <w:rsid w:val="00A841AB"/>
    <w:rsid w:val="00A92517"/>
    <w:rsid w:val="00A9437E"/>
    <w:rsid w:val="00A95BB1"/>
    <w:rsid w:val="00AB1FAD"/>
    <w:rsid w:val="00AB36AE"/>
    <w:rsid w:val="00AD1551"/>
    <w:rsid w:val="00AD15B0"/>
    <w:rsid w:val="00AE0C17"/>
    <w:rsid w:val="00AE2AFF"/>
    <w:rsid w:val="00AE3CC6"/>
    <w:rsid w:val="00B01196"/>
    <w:rsid w:val="00B14BC2"/>
    <w:rsid w:val="00B24784"/>
    <w:rsid w:val="00B46178"/>
    <w:rsid w:val="00B46A87"/>
    <w:rsid w:val="00B512CB"/>
    <w:rsid w:val="00B528CA"/>
    <w:rsid w:val="00B577DA"/>
    <w:rsid w:val="00B57F40"/>
    <w:rsid w:val="00B62D46"/>
    <w:rsid w:val="00B73FFE"/>
    <w:rsid w:val="00B77E29"/>
    <w:rsid w:val="00B82F9E"/>
    <w:rsid w:val="00B8464E"/>
    <w:rsid w:val="00B910D5"/>
    <w:rsid w:val="00B96C4A"/>
    <w:rsid w:val="00BA2124"/>
    <w:rsid w:val="00BB22C4"/>
    <w:rsid w:val="00BB48F7"/>
    <w:rsid w:val="00BB57C6"/>
    <w:rsid w:val="00BB5EB0"/>
    <w:rsid w:val="00BC21C3"/>
    <w:rsid w:val="00BC3301"/>
    <w:rsid w:val="00BC62DC"/>
    <w:rsid w:val="00BD09EA"/>
    <w:rsid w:val="00BD2E67"/>
    <w:rsid w:val="00BE62A5"/>
    <w:rsid w:val="00BF4059"/>
    <w:rsid w:val="00BF4596"/>
    <w:rsid w:val="00BF7019"/>
    <w:rsid w:val="00C1131A"/>
    <w:rsid w:val="00C27C9B"/>
    <w:rsid w:val="00C37DA7"/>
    <w:rsid w:val="00C53657"/>
    <w:rsid w:val="00C6306A"/>
    <w:rsid w:val="00C771A8"/>
    <w:rsid w:val="00C83A2A"/>
    <w:rsid w:val="00C8579B"/>
    <w:rsid w:val="00C96702"/>
    <w:rsid w:val="00C96A42"/>
    <w:rsid w:val="00CB14DB"/>
    <w:rsid w:val="00CB2D87"/>
    <w:rsid w:val="00CB5654"/>
    <w:rsid w:val="00CC14DA"/>
    <w:rsid w:val="00CC75B7"/>
    <w:rsid w:val="00CE14D6"/>
    <w:rsid w:val="00CE45FE"/>
    <w:rsid w:val="00CE511B"/>
    <w:rsid w:val="00CE75BC"/>
    <w:rsid w:val="00CF59F7"/>
    <w:rsid w:val="00D004EC"/>
    <w:rsid w:val="00D0722A"/>
    <w:rsid w:val="00D11438"/>
    <w:rsid w:val="00D21708"/>
    <w:rsid w:val="00D22269"/>
    <w:rsid w:val="00D230B2"/>
    <w:rsid w:val="00D32060"/>
    <w:rsid w:val="00D40207"/>
    <w:rsid w:val="00D40E93"/>
    <w:rsid w:val="00D5481C"/>
    <w:rsid w:val="00D63B81"/>
    <w:rsid w:val="00D63E50"/>
    <w:rsid w:val="00D65DFD"/>
    <w:rsid w:val="00D83A5B"/>
    <w:rsid w:val="00D9105B"/>
    <w:rsid w:val="00DA2A1A"/>
    <w:rsid w:val="00DA36A5"/>
    <w:rsid w:val="00DA6C22"/>
    <w:rsid w:val="00DB388C"/>
    <w:rsid w:val="00DB415F"/>
    <w:rsid w:val="00DC0019"/>
    <w:rsid w:val="00DC381B"/>
    <w:rsid w:val="00DD0B94"/>
    <w:rsid w:val="00DE131B"/>
    <w:rsid w:val="00DE68C6"/>
    <w:rsid w:val="00DF1357"/>
    <w:rsid w:val="00E0087A"/>
    <w:rsid w:val="00E05BA9"/>
    <w:rsid w:val="00E179B3"/>
    <w:rsid w:val="00E23828"/>
    <w:rsid w:val="00E33222"/>
    <w:rsid w:val="00E43FE6"/>
    <w:rsid w:val="00E476E1"/>
    <w:rsid w:val="00E514F0"/>
    <w:rsid w:val="00E530AE"/>
    <w:rsid w:val="00E55797"/>
    <w:rsid w:val="00E56BD0"/>
    <w:rsid w:val="00E6796A"/>
    <w:rsid w:val="00E7335A"/>
    <w:rsid w:val="00E766AF"/>
    <w:rsid w:val="00E8338E"/>
    <w:rsid w:val="00E85DA4"/>
    <w:rsid w:val="00EE364F"/>
    <w:rsid w:val="00EF5ABF"/>
    <w:rsid w:val="00F00B5C"/>
    <w:rsid w:val="00F06FC7"/>
    <w:rsid w:val="00F2150B"/>
    <w:rsid w:val="00F36AD2"/>
    <w:rsid w:val="00F4774D"/>
    <w:rsid w:val="00F6174E"/>
    <w:rsid w:val="00F70B8D"/>
    <w:rsid w:val="00F76247"/>
    <w:rsid w:val="00F8404C"/>
    <w:rsid w:val="00F978D7"/>
    <w:rsid w:val="00FA35FB"/>
    <w:rsid w:val="00FB50D1"/>
    <w:rsid w:val="00FE6DAB"/>
    <w:rsid w:val="00FE7B97"/>
    <w:rsid w:val="00FF6E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4FEC"/>
  <w15:chartTrackingRefBased/>
  <w15:docId w15:val="{F6EE3E34-BE2D-4C84-B2AE-5F21B0F1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8D29BD"/>
    <w:pPr>
      <w:spacing w:line="240" w:lineRule="auto"/>
      <w:contextualSpacing/>
      <w:outlineLvl w:val="0"/>
    </w:pPr>
    <w:rPr>
      <w:rFonts w:ascii="Aptos" w:hAnsi="Aptos" w:cs="Arial"/>
      <w:b/>
      <w:bCs/>
      <w:sz w:val="32"/>
      <w:szCs w:val="32"/>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9BD"/>
    <w:rPr>
      <w:rFonts w:ascii="Aptos" w:hAnsi="Aptos" w:cs="Arial"/>
      <w:b/>
      <w:bCs/>
      <w:sz w:val="32"/>
      <w:szCs w:val="32"/>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 w:type="character" w:styleId="UnresolvedMention">
    <w:name w:val="Unresolved Mention"/>
    <w:basedOn w:val="DefaultParagraphFont"/>
    <w:uiPriority w:val="99"/>
    <w:semiHidden/>
    <w:unhideWhenUsed/>
    <w:rsid w:val="006E5C2F"/>
    <w:rPr>
      <w:color w:val="605E5C"/>
      <w:shd w:val="clear" w:color="auto" w:fill="E1DFDD"/>
    </w:rPr>
  </w:style>
  <w:style w:type="table" w:customStyle="1" w:styleId="TableGrid1">
    <w:name w:val="Table Grid1"/>
    <w:basedOn w:val="TableNormal"/>
    <w:next w:val="TableGrid"/>
    <w:uiPriority w:val="59"/>
    <w:rsid w:val="006E5C2F"/>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E5C2F"/>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C2F"/>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E5C2F"/>
    <w:pPr>
      <w:spacing w:after="100"/>
    </w:pPr>
    <w:rPr>
      <w:rFonts w:ascii="Calibri" w:hAnsi="Calibri"/>
    </w:rPr>
  </w:style>
  <w:style w:type="paragraph" w:styleId="TOC2">
    <w:name w:val="toc 2"/>
    <w:basedOn w:val="Normal"/>
    <w:next w:val="Normal"/>
    <w:autoRedefine/>
    <w:uiPriority w:val="39"/>
    <w:unhideWhenUsed/>
    <w:rsid w:val="006E5C2F"/>
    <w:pPr>
      <w:spacing w:after="100"/>
      <w:ind w:left="220"/>
    </w:pPr>
    <w:rPr>
      <w:rFonts w:ascii="Calibri" w:hAnsi="Calibri"/>
    </w:rPr>
  </w:style>
  <w:style w:type="paragraph" w:styleId="TOC3">
    <w:name w:val="toc 3"/>
    <w:basedOn w:val="Normal"/>
    <w:next w:val="Normal"/>
    <w:autoRedefine/>
    <w:uiPriority w:val="39"/>
    <w:unhideWhenUsed/>
    <w:rsid w:val="006E5C2F"/>
    <w:pPr>
      <w:spacing w:after="100"/>
      <w:ind w:left="440"/>
    </w:pPr>
    <w:rPr>
      <w:rFonts w:ascii="Calibri" w:hAnsi="Calibri"/>
    </w:rPr>
  </w:style>
  <w:style w:type="paragraph" w:styleId="TOC4">
    <w:name w:val="toc 4"/>
    <w:basedOn w:val="Normal"/>
    <w:next w:val="Normal"/>
    <w:autoRedefine/>
    <w:uiPriority w:val="39"/>
    <w:unhideWhenUsed/>
    <w:rsid w:val="006E5C2F"/>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6E5C2F"/>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6E5C2F"/>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6E5C2F"/>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6E5C2F"/>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6E5C2F"/>
    <w:pPr>
      <w:spacing w:after="100" w:line="259" w:lineRule="auto"/>
      <w:ind w:left="1760"/>
    </w:pPr>
    <w:rPr>
      <w:rFonts w:asciiTheme="minorHAnsi" w:eastAsiaTheme="minorEastAsia" w:hAnsiTheme="minorHAnsi" w:cstheme="minorBidi"/>
      <w:szCs w:val="22"/>
      <w:lang w:eastAsia="en-GB"/>
    </w:rPr>
  </w:style>
  <w:style w:type="character" w:styleId="PageNumber">
    <w:name w:val="page number"/>
    <w:basedOn w:val="DefaultParagraphFont"/>
    <w:uiPriority w:val="99"/>
    <w:semiHidden/>
    <w:unhideWhenUsed/>
    <w:rsid w:val="00B46A87"/>
  </w:style>
  <w:style w:type="paragraph" w:customStyle="1" w:styleId="Footer-title">
    <w:name w:val="Footer - title"/>
    <w:basedOn w:val="Normal"/>
    <w:qFormat/>
    <w:rsid w:val="00B46A87"/>
    <w:pPr>
      <w:spacing w:after="0" w:line="240" w:lineRule="auto"/>
      <w:suppressOverlap/>
      <w:jc w:val="right"/>
    </w:pPr>
    <w:rPr>
      <w:rFonts w:eastAsiaTheme="minorHAnsi" w:cs="Arial"/>
      <w:b/>
      <w:bCs/>
      <w:color w:val="2E2755" w:themeColor="text2"/>
      <w:sz w:val="20"/>
      <w:szCs w:val="22"/>
    </w:rPr>
  </w:style>
  <w:style w:type="paragraph" w:customStyle="1" w:styleId="Footer-Title0">
    <w:name w:val="Footer - Title"/>
    <w:basedOn w:val="Normal"/>
    <w:link w:val="Footer-TitleChar"/>
    <w:qFormat/>
    <w:rsid w:val="00B46A87"/>
    <w:pPr>
      <w:tabs>
        <w:tab w:val="center" w:pos="4513"/>
        <w:tab w:val="right" w:pos="9026"/>
      </w:tabs>
      <w:spacing w:after="0" w:line="240" w:lineRule="auto"/>
      <w:jc w:val="right"/>
    </w:pPr>
    <w:rPr>
      <w:rFonts w:eastAsiaTheme="minorEastAsia" w:cstheme="minorBidi"/>
      <w:b/>
      <w:bCs/>
      <w:caps/>
      <w:color w:val="000000" w:themeColor="text1"/>
      <w:sz w:val="16"/>
      <w:szCs w:val="16"/>
      <w:lang w:bidi="en-US"/>
    </w:rPr>
  </w:style>
  <w:style w:type="character" w:customStyle="1" w:styleId="Footer-TitleChar">
    <w:name w:val="Footer - Title Char"/>
    <w:basedOn w:val="DefaultParagraphFont"/>
    <w:link w:val="Footer-Title0"/>
    <w:rsid w:val="00B46A87"/>
    <w:rPr>
      <w:rFonts w:ascii="Arial" w:eastAsiaTheme="minorEastAsia" w:hAnsi="Arial"/>
      <w:b/>
      <w:bCs/>
      <w:caps/>
      <w:color w:val="000000" w:themeColor="text1"/>
      <w:sz w:val="16"/>
      <w:szCs w:val="16"/>
      <w:lang w:bidi="en-US"/>
    </w:rPr>
  </w:style>
  <w:style w:type="paragraph" w:styleId="NormalWeb">
    <w:name w:val="Normal (Web)"/>
    <w:basedOn w:val="Normal"/>
    <w:uiPriority w:val="99"/>
    <w:unhideWhenUsed/>
    <w:rsid w:val="00B62D46"/>
    <w:pPr>
      <w:spacing w:before="100" w:beforeAutospacing="1" w:after="100" w:afterAutospacing="1" w:line="240" w:lineRule="auto"/>
    </w:pPr>
    <w:rPr>
      <w:rFonts w:ascii="Times New Roman" w:hAnsi="Times New Roman"/>
      <w:sz w:val="24"/>
      <w:lang w:eastAsia="en-GB"/>
    </w:rPr>
  </w:style>
  <w:style w:type="paragraph" w:styleId="Revision">
    <w:name w:val="Revision"/>
    <w:hidden/>
    <w:uiPriority w:val="99"/>
    <w:semiHidden/>
    <w:rsid w:val="002F7B51"/>
    <w:pPr>
      <w:spacing w:after="0" w:line="240" w:lineRule="auto"/>
    </w:pPr>
    <w:rPr>
      <w:rFonts w:ascii="Arial" w:hAnsi="Arial" w:cs="Times New Roman"/>
      <w:szCs w:val="24"/>
    </w:rPr>
  </w:style>
  <w:style w:type="paragraph" w:customStyle="1" w:styleId="subpara1">
    <w:name w:val="subpara1"/>
    <w:basedOn w:val="Normal"/>
    <w:rsid w:val="001E6261"/>
    <w:pPr>
      <w:spacing w:before="100" w:beforeAutospacing="1" w:after="100" w:afterAutospacing="1" w:line="240" w:lineRule="auto"/>
    </w:pPr>
    <w:rPr>
      <w:rFonts w:ascii="Times New Roman" w:hAnsi="Times New Roman"/>
      <w:sz w:val="24"/>
      <w:lang w:eastAsia="en-GB"/>
    </w:rPr>
  </w:style>
  <w:style w:type="character" w:styleId="CommentReference">
    <w:name w:val="annotation reference"/>
    <w:basedOn w:val="DefaultParagraphFont"/>
    <w:uiPriority w:val="99"/>
    <w:semiHidden/>
    <w:unhideWhenUsed/>
    <w:rsid w:val="004871DC"/>
    <w:rPr>
      <w:sz w:val="16"/>
      <w:szCs w:val="16"/>
    </w:rPr>
  </w:style>
  <w:style w:type="paragraph" w:styleId="CommentText">
    <w:name w:val="annotation text"/>
    <w:basedOn w:val="Normal"/>
    <w:link w:val="CommentTextChar"/>
    <w:uiPriority w:val="99"/>
    <w:unhideWhenUsed/>
    <w:rsid w:val="004871DC"/>
    <w:pPr>
      <w:spacing w:line="240" w:lineRule="auto"/>
    </w:pPr>
    <w:rPr>
      <w:sz w:val="20"/>
      <w:szCs w:val="20"/>
    </w:rPr>
  </w:style>
  <w:style w:type="character" w:customStyle="1" w:styleId="CommentTextChar">
    <w:name w:val="Comment Text Char"/>
    <w:basedOn w:val="DefaultParagraphFont"/>
    <w:link w:val="CommentText"/>
    <w:uiPriority w:val="99"/>
    <w:rsid w:val="004871DC"/>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6D1EBF"/>
    <w:rPr>
      <w:b/>
      <w:bCs/>
    </w:rPr>
  </w:style>
  <w:style w:type="character" w:customStyle="1" w:styleId="CommentSubjectChar">
    <w:name w:val="Comment Subject Char"/>
    <w:basedOn w:val="CommentTextChar"/>
    <w:link w:val="CommentSubject"/>
    <w:uiPriority w:val="99"/>
    <w:semiHidden/>
    <w:rsid w:val="006D1EBF"/>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884">
      <w:bodyDiv w:val="1"/>
      <w:marLeft w:val="0"/>
      <w:marRight w:val="0"/>
      <w:marTop w:val="0"/>
      <w:marBottom w:val="0"/>
      <w:divBdr>
        <w:top w:val="none" w:sz="0" w:space="0" w:color="auto"/>
        <w:left w:val="none" w:sz="0" w:space="0" w:color="auto"/>
        <w:bottom w:val="none" w:sz="0" w:space="0" w:color="auto"/>
        <w:right w:val="none" w:sz="0" w:space="0" w:color="auto"/>
      </w:divBdr>
    </w:div>
    <w:div w:id="240651111">
      <w:bodyDiv w:val="1"/>
      <w:marLeft w:val="0"/>
      <w:marRight w:val="0"/>
      <w:marTop w:val="0"/>
      <w:marBottom w:val="0"/>
      <w:divBdr>
        <w:top w:val="none" w:sz="0" w:space="0" w:color="auto"/>
        <w:left w:val="none" w:sz="0" w:space="0" w:color="auto"/>
        <w:bottom w:val="none" w:sz="0" w:space="0" w:color="auto"/>
        <w:right w:val="none" w:sz="0" w:space="0" w:color="auto"/>
      </w:divBdr>
    </w:div>
    <w:div w:id="545289697">
      <w:bodyDiv w:val="1"/>
      <w:marLeft w:val="0"/>
      <w:marRight w:val="0"/>
      <w:marTop w:val="0"/>
      <w:marBottom w:val="0"/>
      <w:divBdr>
        <w:top w:val="none" w:sz="0" w:space="0" w:color="auto"/>
        <w:left w:val="none" w:sz="0" w:space="0" w:color="auto"/>
        <w:bottom w:val="none" w:sz="0" w:space="0" w:color="auto"/>
        <w:right w:val="none" w:sz="0" w:space="0" w:color="auto"/>
      </w:divBdr>
    </w:div>
    <w:div w:id="630205552">
      <w:bodyDiv w:val="1"/>
      <w:marLeft w:val="0"/>
      <w:marRight w:val="0"/>
      <w:marTop w:val="0"/>
      <w:marBottom w:val="0"/>
      <w:divBdr>
        <w:top w:val="none" w:sz="0" w:space="0" w:color="auto"/>
        <w:left w:val="none" w:sz="0" w:space="0" w:color="auto"/>
        <w:bottom w:val="none" w:sz="0" w:space="0" w:color="auto"/>
        <w:right w:val="none" w:sz="0" w:space="0" w:color="auto"/>
      </w:divBdr>
    </w:div>
    <w:div w:id="1327175652">
      <w:bodyDiv w:val="1"/>
      <w:marLeft w:val="0"/>
      <w:marRight w:val="0"/>
      <w:marTop w:val="0"/>
      <w:marBottom w:val="0"/>
      <w:divBdr>
        <w:top w:val="none" w:sz="0" w:space="0" w:color="auto"/>
        <w:left w:val="none" w:sz="0" w:space="0" w:color="auto"/>
        <w:bottom w:val="none" w:sz="0" w:space="0" w:color="auto"/>
        <w:right w:val="none" w:sz="0" w:space="0" w:color="auto"/>
      </w:divBdr>
    </w:div>
    <w:div w:id="1368532580">
      <w:bodyDiv w:val="1"/>
      <w:marLeft w:val="0"/>
      <w:marRight w:val="0"/>
      <w:marTop w:val="0"/>
      <w:marBottom w:val="0"/>
      <w:divBdr>
        <w:top w:val="none" w:sz="0" w:space="0" w:color="auto"/>
        <w:left w:val="none" w:sz="0" w:space="0" w:color="auto"/>
        <w:bottom w:val="none" w:sz="0" w:space="0" w:color="auto"/>
        <w:right w:val="none" w:sz="0" w:space="0" w:color="auto"/>
      </w:divBdr>
    </w:div>
    <w:div w:id="19636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2).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7a7b0ae-d366-4174-8f86-7e626741fcd7">
      <Terms xmlns="http://schemas.microsoft.com/office/infopath/2007/PartnerControls"/>
    </lcf76f155ced4ddcb4097134ff3c332f>
    <TaxCatchAll xmlns="a1597107-7dfc-4cce-a4d1-d062d8ec45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E3DAC-F62E-4A4A-BF03-B78A4E6CC1A3}">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2.xml><?xml version="1.0" encoding="utf-8"?>
<ds:datastoreItem xmlns:ds="http://schemas.openxmlformats.org/officeDocument/2006/customXml" ds:itemID="{AFEF96DE-19D3-4CDD-AAEF-81E6441B8C83}">
  <ds:schemaRefs>
    <ds:schemaRef ds:uri="http://schemas.microsoft.com/sharepoint/v3/contenttype/forms"/>
  </ds:schemaRefs>
</ds:datastoreItem>
</file>

<file path=customXml/itemProps3.xml><?xml version="1.0" encoding="utf-8"?>
<ds:datastoreItem xmlns:ds="http://schemas.openxmlformats.org/officeDocument/2006/customXml" ds:itemID="{7E1B7ECC-911C-4829-A015-8657E3ED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Thistle Toolkit Template TI v2 (002)</Template>
  <TotalTime>0</TotalTime>
  <Pages>19</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Lisa Cross</cp:lastModifiedBy>
  <cp:revision>216</cp:revision>
  <dcterms:created xsi:type="dcterms:W3CDTF">2025-07-22T08:47:00Z</dcterms:created>
  <dcterms:modified xsi:type="dcterms:W3CDTF">2026-05-08T12:06:00Z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ies>
</file>