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793D" w14:textId="77777777" w:rsidR="00CF69F4" w:rsidRPr="00B27ED5" w:rsidRDefault="00CF69F4" w:rsidP="006A2A31"/>
    <w:tbl>
      <w:tblPr>
        <w:tblpPr w:leftFromText="187" w:rightFromText="187" w:vertAnchor="page" w:horzAnchor="page" w:tblpX="2768" w:tblpY="6381"/>
        <w:tblW w:w="4607" w:type="pct"/>
        <w:tblCellMar>
          <w:left w:w="144" w:type="dxa"/>
          <w:right w:w="115" w:type="dxa"/>
        </w:tblCellMar>
        <w:tblLook w:val="04A0" w:firstRow="1" w:lastRow="0" w:firstColumn="1" w:lastColumn="0" w:noHBand="0" w:noVBand="1"/>
      </w:tblPr>
      <w:tblGrid>
        <w:gridCol w:w="8317"/>
      </w:tblGrid>
      <w:tr w:rsidR="00145464" w:rsidRPr="00B27ED5" w14:paraId="505FA263" w14:textId="77777777" w:rsidTr="00621387">
        <w:trPr>
          <w:trHeight w:val="229"/>
        </w:trPr>
        <w:bookmarkStart w:id="0" w:name="OLE_LINK16" w:displacedByCustomXml="next"/>
        <w:bookmarkStart w:id="1" w:name="OLE_LINK10" w:displacedByCustomXml="next"/>
        <w:bookmarkStart w:id="2" w:name="OLE_LINK9" w:displacedByCustomXml="next"/>
        <w:sdt>
          <w:sdtPr>
            <w:rPr>
              <w:lang w:val="en-GB"/>
            </w:rPr>
            <w:alias w:val="Company"/>
            <w:id w:val="13406915"/>
            <w:placeholder>
              <w:docPart w:val="B39BBB307BA941D39B52D1608A71B5AD"/>
            </w:placeholder>
            <w:dataBinding w:prefixMappings="xmlns:ns0='http://schemas.openxmlformats.org/officeDocument/2006/extended-properties'" w:xpath="/ns0:Properties[1]/ns0:Company[1]" w:storeItemID="{6668398D-A668-4E3E-A5EB-62B293D839F1}"/>
            <w:text/>
          </w:sdtPr>
          <w:sdtEndPr/>
          <w:sdtContent>
            <w:tc>
              <w:tcPr>
                <w:tcW w:w="8317" w:type="dxa"/>
                <w:tcMar>
                  <w:top w:w="216" w:type="dxa"/>
                  <w:left w:w="115" w:type="dxa"/>
                  <w:bottom w:w="216" w:type="dxa"/>
                  <w:right w:w="115" w:type="dxa"/>
                </w:tcMar>
              </w:tcPr>
              <w:p w14:paraId="019BC84B" w14:textId="77777777" w:rsidR="00145464" w:rsidRPr="00B27ED5" w:rsidRDefault="003667F6" w:rsidP="00621387">
                <w:pPr>
                  <w:pStyle w:val="Cover-company"/>
                  <w:framePr w:hSpace="0" w:wrap="auto" w:vAnchor="margin" w:hAnchor="text" w:xAlign="left" w:yAlign="inline"/>
                  <w:rPr>
                    <w:color w:val="2E2755"/>
                    <w:lang w:val="en-GB"/>
                  </w:rPr>
                </w:pPr>
                <w:r w:rsidRPr="00B27ED5">
                  <w:rPr>
                    <w:lang w:val="en-GB"/>
                  </w:rPr>
                  <w:t>Thistle Initiatives Limited</w:t>
                </w:r>
              </w:p>
            </w:tc>
          </w:sdtContent>
        </w:sdt>
        <w:bookmarkEnd w:id="0" w:displacedByCustomXml="prev"/>
        <w:bookmarkEnd w:id="1" w:displacedByCustomXml="prev"/>
        <w:bookmarkEnd w:id="2" w:displacedByCustomXml="prev"/>
      </w:tr>
      <w:tr w:rsidR="00145464" w:rsidRPr="00B27ED5" w14:paraId="3F971C7A" w14:textId="77777777" w:rsidTr="00621387">
        <w:trPr>
          <w:trHeight w:val="229"/>
        </w:trPr>
        <w:tc>
          <w:tcPr>
            <w:tcW w:w="8317" w:type="dxa"/>
            <w:tcMar>
              <w:top w:w="216" w:type="dxa"/>
              <w:left w:w="115" w:type="dxa"/>
              <w:bottom w:w="216" w:type="dxa"/>
              <w:right w:w="115" w:type="dxa"/>
            </w:tcMar>
          </w:tcPr>
          <w:p w14:paraId="4B2CBFF8" w14:textId="00B2E6B8" w:rsidR="00B27ED5" w:rsidRPr="00B27ED5" w:rsidRDefault="00B27ED5" w:rsidP="00B27ED5">
            <w:pPr>
              <w:pStyle w:val="Cover-company"/>
              <w:framePr w:hSpace="0" w:wrap="auto" w:vAnchor="margin" w:hAnchor="text" w:xAlign="left" w:yAlign="inline"/>
              <w:jc w:val="center"/>
              <w:rPr>
                <w:color w:val="auto"/>
                <w:sz w:val="72"/>
                <w:szCs w:val="72"/>
                <w:lang w:val="en-GB"/>
              </w:rPr>
            </w:pPr>
            <w:r w:rsidRPr="00B27ED5">
              <w:rPr>
                <w:color w:val="auto"/>
                <w:sz w:val="72"/>
                <w:szCs w:val="72"/>
                <w:lang w:val="en-GB"/>
              </w:rPr>
              <w:t>Conflicts of Interest Policy</w:t>
            </w:r>
          </w:p>
          <w:p w14:paraId="4F02F5A8" w14:textId="018BB55D" w:rsidR="00BB1F64" w:rsidRPr="00B27ED5" w:rsidRDefault="00BB1F64" w:rsidP="009258F5">
            <w:pPr>
              <w:pStyle w:val="Cover-company"/>
              <w:framePr w:hSpace="0" w:wrap="auto" w:vAnchor="margin" w:hAnchor="text" w:xAlign="left" w:yAlign="inline"/>
              <w:jc w:val="center"/>
              <w:rPr>
                <w:sz w:val="24"/>
                <w:szCs w:val="24"/>
                <w:lang w:val="en-GB"/>
              </w:rPr>
            </w:pPr>
          </w:p>
        </w:tc>
      </w:tr>
    </w:tbl>
    <w:p w14:paraId="5264F47F" w14:textId="5A048B0D" w:rsidR="00D51C64" w:rsidRPr="00B27ED5" w:rsidRDefault="00D51C64" w:rsidP="00D05AE1">
      <w:pPr>
        <w:rPr>
          <w:sz w:val="24"/>
          <w:szCs w:val="24"/>
        </w:rPr>
      </w:pPr>
    </w:p>
    <w:p w14:paraId="79FDD0DF" w14:textId="77777777" w:rsidR="00C92130" w:rsidRPr="00B27ED5" w:rsidRDefault="00C92130" w:rsidP="00D05AE1">
      <w:pPr>
        <w:rPr>
          <w:sz w:val="24"/>
          <w:szCs w:val="24"/>
        </w:rPr>
      </w:pPr>
    </w:p>
    <w:p w14:paraId="38C36947" w14:textId="77777777" w:rsidR="00C92130" w:rsidRPr="00B27ED5" w:rsidRDefault="00C92130" w:rsidP="00D05AE1">
      <w:pPr>
        <w:rPr>
          <w:sz w:val="24"/>
          <w:szCs w:val="24"/>
        </w:rPr>
      </w:pPr>
    </w:p>
    <w:p w14:paraId="1C7B8F09" w14:textId="77777777" w:rsidR="00C92130" w:rsidRPr="00B27ED5" w:rsidRDefault="00C92130" w:rsidP="00D05AE1">
      <w:pPr>
        <w:rPr>
          <w:sz w:val="24"/>
          <w:szCs w:val="24"/>
        </w:rPr>
      </w:pPr>
    </w:p>
    <w:p w14:paraId="4C236E3D" w14:textId="77777777" w:rsidR="00C92130" w:rsidRPr="00B27ED5" w:rsidRDefault="00C92130" w:rsidP="00D05AE1">
      <w:pPr>
        <w:rPr>
          <w:sz w:val="24"/>
          <w:szCs w:val="24"/>
        </w:rPr>
      </w:pPr>
    </w:p>
    <w:p w14:paraId="38A88B75" w14:textId="77777777" w:rsidR="00C92130" w:rsidRPr="00B27ED5" w:rsidRDefault="00C92130" w:rsidP="00D05AE1">
      <w:pPr>
        <w:rPr>
          <w:sz w:val="24"/>
          <w:szCs w:val="24"/>
        </w:rPr>
      </w:pPr>
    </w:p>
    <w:p w14:paraId="14C6BF9F" w14:textId="77777777" w:rsidR="00C92130" w:rsidRPr="00B27ED5" w:rsidRDefault="00C92130" w:rsidP="00D05AE1">
      <w:pPr>
        <w:rPr>
          <w:sz w:val="24"/>
          <w:szCs w:val="24"/>
        </w:rPr>
      </w:pPr>
    </w:p>
    <w:p w14:paraId="71A47E9C" w14:textId="77777777" w:rsidR="00C92130" w:rsidRPr="00B27ED5" w:rsidRDefault="00C92130" w:rsidP="00D05AE1">
      <w:pPr>
        <w:rPr>
          <w:sz w:val="24"/>
          <w:szCs w:val="24"/>
        </w:rPr>
      </w:pPr>
    </w:p>
    <w:p w14:paraId="0B0E8E56" w14:textId="77777777" w:rsidR="00C92130" w:rsidRPr="00B27ED5" w:rsidRDefault="00C92130" w:rsidP="00D05AE1">
      <w:pPr>
        <w:rPr>
          <w:sz w:val="24"/>
          <w:szCs w:val="24"/>
        </w:rPr>
      </w:pPr>
    </w:p>
    <w:p w14:paraId="1D71923C" w14:textId="77777777" w:rsidR="00C92130" w:rsidRPr="00B27ED5" w:rsidRDefault="00C92130" w:rsidP="00D05AE1">
      <w:pPr>
        <w:rPr>
          <w:sz w:val="24"/>
          <w:szCs w:val="24"/>
        </w:rPr>
      </w:pPr>
    </w:p>
    <w:p w14:paraId="1341EF6B" w14:textId="77777777" w:rsidR="00C92130" w:rsidRPr="00B27ED5" w:rsidRDefault="00C92130" w:rsidP="00D05AE1">
      <w:pPr>
        <w:rPr>
          <w:sz w:val="24"/>
          <w:szCs w:val="24"/>
        </w:rPr>
      </w:pPr>
    </w:p>
    <w:p w14:paraId="56DDAD2A" w14:textId="77777777" w:rsidR="00C92130" w:rsidRPr="00B27ED5" w:rsidRDefault="00C92130" w:rsidP="00D05AE1">
      <w:pPr>
        <w:rPr>
          <w:sz w:val="24"/>
          <w:szCs w:val="24"/>
        </w:rPr>
      </w:pPr>
    </w:p>
    <w:p w14:paraId="3B201609" w14:textId="77777777" w:rsidR="00C92130" w:rsidRPr="00B27ED5" w:rsidRDefault="00C92130" w:rsidP="00D05AE1">
      <w:pPr>
        <w:rPr>
          <w:sz w:val="24"/>
          <w:szCs w:val="24"/>
        </w:rPr>
      </w:pPr>
    </w:p>
    <w:p w14:paraId="1023FD64" w14:textId="77777777" w:rsidR="00C92130" w:rsidRPr="00B27ED5" w:rsidRDefault="00C92130" w:rsidP="00D05AE1">
      <w:pPr>
        <w:rPr>
          <w:sz w:val="24"/>
          <w:szCs w:val="24"/>
        </w:rPr>
      </w:pPr>
    </w:p>
    <w:p w14:paraId="1397AD7B" w14:textId="77777777" w:rsidR="00C92130" w:rsidRPr="00B27ED5" w:rsidRDefault="00C92130" w:rsidP="00D05AE1">
      <w:pPr>
        <w:rPr>
          <w:sz w:val="24"/>
          <w:szCs w:val="24"/>
        </w:rPr>
      </w:pPr>
    </w:p>
    <w:p w14:paraId="0754A201" w14:textId="77777777" w:rsidR="00C92130" w:rsidRPr="00B27ED5" w:rsidRDefault="00C92130" w:rsidP="00D05AE1">
      <w:pPr>
        <w:rPr>
          <w:sz w:val="24"/>
          <w:szCs w:val="24"/>
        </w:rPr>
      </w:pPr>
    </w:p>
    <w:p w14:paraId="74AD5329" w14:textId="77777777" w:rsidR="00C92130" w:rsidRPr="00B27ED5" w:rsidRDefault="00C92130" w:rsidP="00D05AE1">
      <w:pPr>
        <w:rPr>
          <w:sz w:val="24"/>
          <w:szCs w:val="24"/>
        </w:rPr>
      </w:pPr>
    </w:p>
    <w:p w14:paraId="445C7562" w14:textId="77777777" w:rsidR="00C92130" w:rsidRPr="00B27ED5" w:rsidRDefault="00C92130" w:rsidP="00D05AE1">
      <w:pPr>
        <w:rPr>
          <w:sz w:val="24"/>
          <w:szCs w:val="24"/>
        </w:rPr>
      </w:pPr>
    </w:p>
    <w:p w14:paraId="44480467" w14:textId="77777777" w:rsidR="00C92130" w:rsidRPr="00B27ED5" w:rsidRDefault="00C92130" w:rsidP="00D05AE1">
      <w:pPr>
        <w:rPr>
          <w:sz w:val="24"/>
          <w:szCs w:val="24"/>
        </w:rPr>
      </w:pPr>
    </w:p>
    <w:p w14:paraId="6CE8A52B" w14:textId="77777777" w:rsidR="00C92130" w:rsidRPr="00B27ED5" w:rsidRDefault="00C92130" w:rsidP="00D05AE1">
      <w:pPr>
        <w:rPr>
          <w:sz w:val="24"/>
          <w:szCs w:val="24"/>
        </w:rPr>
      </w:pPr>
    </w:p>
    <w:p w14:paraId="327D35FC" w14:textId="77777777" w:rsidR="00C92130" w:rsidRPr="00B27ED5" w:rsidRDefault="00C92130" w:rsidP="00D05AE1">
      <w:pPr>
        <w:rPr>
          <w:sz w:val="24"/>
          <w:szCs w:val="24"/>
        </w:rPr>
      </w:pPr>
    </w:p>
    <w:p w14:paraId="0EC7A0CB" w14:textId="77777777" w:rsidR="00B27ED5" w:rsidRPr="00B27ED5" w:rsidRDefault="00B27ED5" w:rsidP="00D05AE1">
      <w:pPr>
        <w:rPr>
          <w:sz w:val="24"/>
          <w:szCs w:val="24"/>
        </w:rPr>
      </w:pPr>
    </w:p>
    <w:p w14:paraId="3DBA4DEC" w14:textId="77777777" w:rsidR="00B27ED5" w:rsidRPr="00B27ED5" w:rsidRDefault="00B27ED5" w:rsidP="00D05AE1">
      <w:pPr>
        <w:rPr>
          <w:sz w:val="24"/>
          <w:szCs w:val="24"/>
        </w:rPr>
      </w:pPr>
    </w:p>
    <w:p w14:paraId="15FC4B17" w14:textId="77777777" w:rsidR="00B27ED5" w:rsidRPr="00B27ED5" w:rsidRDefault="00B27ED5" w:rsidP="00D05AE1">
      <w:pPr>
        <w:rPr>
          <w:sz w:val="24"/>
          <w:szCs w:val="24"/>
        </w:rPr>
      </w:pPr>
    </w:p>
    <w:p w14:paraId="525FA125" w14:textId="77777777" w:rsidR="00B27ED5" w:rsidRPr="00B27ED5" w:rsidRDefault="00B27ED5" w:rsidP="00D05AE1">
      <w:pPr>
        <w:rPr>
          <w:sz w:val="24"/>
          <w:szCs w:val="24"/>
        </w:rPr>
      </w:pPr>
    </w:p>
    <w:p w14:paraId="4DFF2FD0" w14:textId="77777777" w:rsidR="00B27ED5" w:rsidRPr="00B27ED5" w:rsidRDefault="00B27ED5" w:rsidP="00B27ED5">
      <w:pPr>
        <w:pStyle w:val="Title"/>
        <w:spacing w:before="360" w:after="120"/>
        <w:contextualSpacing w:val="0"/>
        <w:rPr>
          <w:rFonts w:ascii="Arial" w:hAnsi="Arial" w:cs="Arial"/>
          <w:kern w:val="2"/>
          <w:sz w:val="24"/>
          <w:szCs w:val="24"/>
          <w:lang w:eastAsia="en-GB"/>
          <w14:ligatures w14:val="standardContextual"/>
        </w:rPr>
      </w:pPr>
      <w:r w:rsidRPr="00B27ED5">
        <w:rPr>
          <w:rFonts w:ascii="Arial" w:hAnsi="Arial" w:cs="Arial"/>
        </w:rPr>
        <w:lastRenderedPageBreak/>
        <w:t>Conflicts of Interest Policy</w:t>
      </w:r>
    </w:p>
    <w:tbl>
      <w:tblPr>
        <w:tblStyle w:val="GridTable1Light-Accent1"/>
        <w:tblW w:w="5000" w:type="pct"/>
        <w:tblLook w:val="04A0" w:firstRow="1" w:lastRow="0" w:firstColumn="1" w:lastColumn="0" w:noHBand="0" w:noVBand="1"/>
      </w:tblPr>
      <w:tblGrid>
        <w:gridCol w:w="2254"/>
        <w:gridCol w:w="6762"/>
      </w:tblGrid>
      <w:tr w:rsidR="00B27ED5" w:rsidRPr="00B27ED5" w14:paraId="10B11229" w14:textId="77777777" w:rsidTr="00B27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left w:val="single" w:sz="4" w:space="0" w:color="auto"/>
              <w:bottom w:val="single" w:sz="4" w:space="0" w:color="auto"/>
              <w:right w:val="single" w:sz="4" w:space="0" w:color="auto"/>
            </w:tcBorders>
            <w:vAlign w:val="center"/>
            <w:hideMark/>
          </w:tcPr>
          <w:p w14:paraId="51DA2523" w14:textId="77777777" w:rsidR="00B27ED5" w:rsidRPr="00B27ED5" w:rsidRDefault="00B27ED5" w:rsidP="00C87591">
            <w:pPr>
              <w:rPr>
                <w:rFonts w:cs="Arial"/>
                <w:color w:val="auto"/>
                <w:kern w:val="2"/>
                <w:sz w:val="22"/>
                <w:lang w:eastAsia="en-GB"/>
                <w14:ligatures w14:val="standardContextual"/>
              </w:rPr>
            </w:pPr>
            <w:r w:rsidRPr="00B27ED5">
              <w:rPr>
                <w:rFonts w:cs="Arial"/>
                <w:b w:val="0"/>
                <w:bCs w:val="0"/>
                <w:color w:val="auto"/>
                <w:sz w:val="22"/>
              </w:rPr>
              <w:t>Firm</w:t>
            </w:r>
          </w:p>
        </w:tc>
        <w:tc>
          <w:tcPr>
            <w:tcW w:w="3750" w:type="pct"/>
            <w:tcBorders>
              <w:top w:val="single" w:sz="4" w:space="0" w:color="auto"/>
              <w:left w:val="single" w:sz="4" w:space="0" w:color="auto"/>
              <w:bottom w:val="single" w:sz="4" w:space="0" w:color="auto"/>
              <w:right w:val="single" w:sz="4" w:space="0" w:color="auto"/>
            </w:tcBorders>
            <w:vAlign w:val="center"/>
            <w:hideMark/>
          </w:tcPr>
          <w:p w14:paraId="38CFA31B" w14:textId="23E2E6A2" w:rsidR="00B27ED5" w:rsidRPr="00042EEB" w:rsidRDefault="00B27ED5" w:rsidP="00C87591">
            <w:pPr>
              <w:cnfStyle w:val="100000000000" w:firstRow="1" w:lastRow="0" w:firstColumn="0" w:lastColumn="0" w:oddVBand="0" w:evenVBand="0" w:oddHBand="0" w:evenHBand="0" w:firstRowFirstColumn="0" w:firstRowLastColumn="0" w:lastRowFirstColumn="0" w:lastRowLastColumn="0"/>
              <w:rPr>
                <w:rFonts w:cs="Arial"/>
                <w:b w:val="0"/>
                <w:bCs w:val="0"/>
                <w:color w:val="auto"/>
                <w:sz w:val="22"/>
              </w:rPr>
            </w:pPr>
            <w:r w:rsidRPr="00042EEB">
              <w:rPr>
                <w:rFonts w:cs="Arial"/>
                <w:b w:val="0"/>
                <w:bCs w:val="0"/>
                <w:color w:val="EE0000"/>
                <w:sz w:val="22"/>
              </w:rPr>
              <w:t>Firm legal name</w:t>
            </w:r>
          </w:p>
        </w:tc>
      </w:tr>
      <w:tr w:rsidR="00B27ED5" w:rsidRPr="00B27ED5" w14:paraId="1F1A9E88" w14:textId="77777777" w:rsidTr="00B27ED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74127014" w14:textId="77777777" w:rsidR="00B27ED5" w:rsidRPr="00B27ED5" w:rsidRDefault="00B27ED5" w:rsidP="00C87591">
            <w:pPr>
              <w:rPr>
                <w:rFonts w:cs="Arial"/>
                <w:color w:val="auto"/>
                <w:sz w:val="22"/>
              </w:rPr>
            </w:pPr>
            <w:r w:rsidRPr="00B27ED5">
              <w:rPr>
                <w:rFonts w:cs="Arial"/>
                <w:b w:val="0"/>
                <w:bCs w:val="0"/>
                <w:color w:val="auto"/>
                <w:sz w:val="22"/>
              </w:rPr>
              <w:t>Policy owner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262B085" w14:textId="42AF4C9F" w:rsidR="00B27ED5" w:rsidRPr="00042EEB" w:rsidRDefault="00B27ED5" w:rsidP="00C87591">
            <w:pPr>
              <w:cnfStyle w:val="000000000000" w:firstRow="0" w:lastRow="0" w:firstColumn="0" w:lastColumn="0" w:oddVBand="0" w:evenVBand="0" w:oddHBand="0" w:evenHBand="0" w:firstRowFirstColumn="0" w:firstRowLastColumn="0" w:lastRowFirstColumn="0" w:lastRowLastColumn="0"/>
              <w:rPr>
                <w:rFonts w:cs="Arial"/>
                <w:color w:val="EE0000"/>
                <w:sz w:val="22"/>
              </w:rPr>
            </w:pPr>
            <w:r w:rsidRPr="00042EEB">
              <w:rPr>
                <w:rFonts w:cs="Arial"/>
                <w:color w:val="EE0000"/>
                <w:sz w:val="22"/>
              </w:rPr>
              <w:t>SMF / role responsible for conflicts framework</w:t>
            </w:r>
          </w:p>
        </w:tc>
      </w:tr>
      <w:tr w:rsidR="00B27ED5" w:rsidRPr="00B27ED5" w14:paraId="16096756" w14:textId="77777777" w:rsidTr="00B27ED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5B40946F" w14:textId="77777777" w:rsidR="00B27ED5" w:rsidRPr="00B27ED5" w:rsidRDefault="00B27ED5" w:rsidP="00C87591">
            <w:pPr>
              <w:rPr>
                <w:rFonts w:cs="Arial"/>
                <w:color w:val="auto"/>
                <w:sz w:val="22"/>
              </w:rPr>
            </w:pPr>
            <w:r w:rsidRPr="00B27ED5">
              <w:rPr>
                <w:rFonts w:cs="Arial"/>
                <w:b w:val="0"/>
                <w:bCs w:val="0"/>
                <w:color w:val="auto"/>
                <w:sz w:val="22"/>
              </w:rPr>
              <w:t>Approved by</w:t>
            </w:r>
          </w:p>
        </w:tc>
        <w:tc>
          <w:tcPr>
            <w:tcW w:w="0" w:type="auto"/>
            <w:tcBorders>
              <w:top w:val="single" w:sz="4" w:space="0" w:color="auto"/>
              <w:left w:val="single" w:sz="4" w:space="0" w:color="auto"/>
              <w:bottom w:val="single" w:sz="4" w:space="0" w:color="auto"/>
              <w:right w:val="single" w:sz="4" w:space="0" w:color="auto"/>
            </w:tcBorders>
            <w:vAlign w:val="center"/>
            <w:hideMark/>
          </w:tcPr>
          <w:p w14:paraId="578B4CAD" w14:textId="3F07D62E" w:rsidR="00B27ED5" w:rsidRPr="00B27ED5" w:rsidRDefault="00B27ED5" w:rsidP="00C87591">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042EEB">
              <w:rPr>
                <w:rFonts w:cs="Arial"/>
                <w:color w:val="EE0000"/>
                <w:sz w:val="22"/>
              </w:rPr>
              <w:t>Board / Partners</w:t>
            </w:r>
            <w:r w:rsidR="00042EEB" w:rsidRPr="00042EEB">
              <w:rPr>
                <w:rFonts w:cs="Arial"/>
                <w:color w:val="EE0000"/>
                <w:sz w:val="22"/>
              </w:rPr>
              <w:t xml:space="preserve"> </w:t>
            </w:r>
            <w:r w:rsidRPr="00042EEB">
              <w:rPr>
                <w:rFonts w:cs="Arial"/>
                <w:color w:val="EE0000"/>
                <w:sz w:val="22"/>
              </w:rPr>
              <w:t xml:space="preserve">on </w:t>
            </w:r>
            <w:r w:rsidR="00042EEB">
              <w:rPr>
                <w:rFonts w:cs="Arial"/>
                <w:color w:val="EE0000"/>
                <w:sz w:val="22"/>
              </w:rPr>
              <w:t>DD/MM/YYYY</w:t>
            </w:r>
          </w:p>
        </w:tc>
      </w:tr>
      <w:tr w:rsidR="00B27ED5" w:rsidRPr="00B27ED5" w14:paraId="7D01159C" w14:textId="77777777" w:rsidTr="00B27ED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01CE0398" w14:textId="77777777" w:rsidR="00B27ED5" w:rsidRPr="00B27ED5" w:rsidRDefault="00B27ED5" w:rsidP="00C87591">
            <w:pPr>
              <w:rPr>
                <w:rFonts w:cs="Arial"/>
                <w:color w:val="auto"/>
                <w:sz w:val="22"/>
              </w:rPr>
            </w:pPr>
            <w:r w:rsidRPr="00B27ED5">
              <w:rPr>
                <w:rFonts w:cs="Arial"/>
                <w:b w:val="0"/>
                <w:bCs w:val="0"/>
                <w:color w:val="auto"/>
                <w:sz w:val="22"/>
              </w:rPr>
              <w:t>Effective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76C9E48" w14:textId="2B593C92" w:rsidR="00B27ED5" w:rsidRPr="00B27ED5" w:rsidRDefault="00042EEB" w:rsidP="00C87591">
            <w:pPr>
              <w:cnfStyle w:val="000000000000" w:firstRow="0" w:lastRow="0" w:firstColumn="0" w:lastColumn="0" w:oddVBand="0" w:evenVBand="0" w:oddHBand="0" w:evenHBand="0" w:firstRowFirstColumn="0" w:firstRowLastColumn="0" w:lastRowFirstColumn="0" w:lastRowLastColumn="0"/>
              <w:rPr>
                <w:rFonts w:cs="Arial"/>
                <w:color w:val="auto"/>
                <w:sz w:val="22"/>
              </w:rPr>
            </w:pPr>
            <w:r>
              <w:rPr>
                <w:rFonts w:cs="Arial"/>
                <w:color w:val="auto"/>
                <w:sz w:val="22"/>
              </w:rPr>
              <w:t>DD/MM/YYYY</w:t>
            </w:r>
          </w:p>
        </w:tc>
      </w:tr>
      <w:tr w:rsidR="00B27ED5" w:rsidRPr="00B27ED5" w14:paraId="05D43172" w14:textId="77777777" w:rsidTr="00B27ED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2DA6F044" w14:textId="77777777" w:rsidR="00B27ED5" w:rsidRPr="00B27ED5" w:rsidRDefault="00B27ED5" w:rsidP="00C87591">
            <w:pPr>
              <w:rPr>
                <w:rFonts w:cs="Arial"/>
                <w:color w:val="auto"/>
                <w:sz w:val="22"/>
              </w:rPr>
            </w:pPr>
            <w:r w:rsidRPr="00B27ED5">
              <w:rPr>
                <w:rFonts w:cs="Arial"/>
                <w:b w:val="0"/>
                <w:bCs w:val="0"/>
                <w:color w:val="auto"/>
                <w:sz w:val="22"/>
              </w:rPr>
              <w:t>Next review due</w:t>
            </w:r>
          </w:p>
        </w:tc>
        <w:tc>
          <w:tcPr>
            <w:tcW w:w="0" w:type="auto"/>
            <w:tcBorders>
              <w:top w:val="single" w:sz="4" w:space="0" w:color="auto"/>
              <w:left w:val="single" w:sz="4" w:space="0" w:color="auto"/>
              <w:bottom w:val="single" w:sz="4" w:space="0" w:color="auto"/>
              <w:right w:val="single" w:sz="4" w:space="0" w:color="auto"/>
            </w:tcBorders>
            <w:vAlign w:val="center"/>
            <w:hideMark/>
          </w:tcPr>
          <w:p w14:paraId="785C3E6F" w14:textId="2A1AB61F" w:rsidR="00B27ED5" w:rsidRPr="00B27ED5" w:rsidRDefault="00042EEB" w:rsidP="00C87591">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042EEB">
              <w:rPr>
                <w:rFonts w:cs="Arial"/>
                <w:color w:val="EE0000"/>
                <w:sz w:val="22"/>
              </w:rPr>
              <w:t>MM/YYYY</w:t>
            </w:r>
            <w:r w:rsidR="00B27ED5" w:rsidRPr="00042EEB">
              <w:rPr>
                <w:rFonts w:cs="Arial"/>
                <w:color w:val="EE0000"/>
                <w:sz w:val="22"/>
              </w:rPr>
              <w:t xml:space="preserve"> </w:t>
            </w:r>
            <w:r w:rsidR="00B27ED5" w:rsidRPr="00B27ED5">
              <w:rPr>
                <w:rFonts w:cs="Arial"/>
                <w:color w:val="auto"/>
                <w:sz w:val="22"/>
              </w:rPr>
              <w:t>(at least annually or sooner if material change)</w:t>
            </w:r>
          </w:p>
        </w:tc>
      </w:tr>
      <w:tr w:rsidR="00B27ED5" w:rsidRPr="00B27ED5" w14:paraId="53469A26" w14:textId="77777777" w:rsidTr="00B27ED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3879A57A" w14:textId="77777777" w:rsidR="00B27ED5" w:rsidRPr="00B27ED5" w:rsidRDefault="00B27ED5" w:rsidP="00C87591">
            <w:pPr>
              <w:rPr>
                <w:rFonts w:cs="Arial"/>
                <w:color w:val="auto"/>
                <w:sz w:val="22"/>
              </w:rPr>
            </w:pPr>
            <w:r w:rsidRPr="00B27ED5">
              <w:rPr>
                <w:rFonts w:cs="Arial"/>
                <w:b w:val="0"/>
                <w:bCs w:val="0"/>
                <w:color w:val="auto"/>
                <w:sz w:val="22"/>
              </w:rPr>
              <w:t>Applies 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DCE029A" w14:textId="77777777" w:rsidR="00B27ED5" w:rsidRPr="00B27ED5" w:rsidRDefault="00B27ED5" w:rsidP="00C87591">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B27ED5">
              <w:rPr>
                <w:rFonts w:cs="Arial"/>
                <w:color w:val="auto"/>
                <w:sz w:val="22"/>
              </w:rPr>
              <w:t>All directors/partners, employees, contractors, appointed representatives, and any outsourced service providers acting for or on behalf of the Firm.</w:t>
            </w:r>
          </w:p>
        </w:tc>
      </w:tr>
      <w:tr w:rsidR="00B27ED5" w:rsidRPr="00B27ED5" w14:paraId="080D85A0" w14:textId="77777777" w:rsidTr="00B27ED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5694733A" w14:textId="77777777" w:rsidR="00B27ED5" w:rsidRPr="00B27ED5" w:rsidRDefault="00B27ED5" w:rsidP="00C87591">
            <w:pPr>
              <w:rPr>
                <w:rFonts w:cs="Arial"/>
                <w:color w:val="auto"/>
                <w:sz w:val="22"/>
              </w:rPr>
            </w:pPr>
            <w:r w:rsidRPr="00B27ED5">
              <w:rPr>
                <w:rFonts w:cs="Arial"/>
                <w:b w:val="0"/>
                <w:bCs w:val="0"/>
                <w:color w:val="auto"/>
                <w:sz w:val="22"/>
              </w:rPr>
              <w:t>Related documents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8156698" w14:textId="77777777" w:rsidR="00B27ED5" w:rsidRPr="00B27ED5" w:rsidRDefault="00B27ED5" w:rsidP="00C87591">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B27ED5">
              <w:rPr>
                <w:rFonts w:cs="Arial"/>
                <w:color w:val="auto"/>
                <w:sz w:val="22"/>
              </w:rPr>
              <w:t>Gifts &amp; Hospitality Policy; Personal Account Dealing Policy; Remuneration Policy; Best Execution Policy (if applicable); PROD governance (if applicable); Complaints Policy; Whistleblowing Policy.</w:t>
            </w:r>
          </w:p>
        </w:tc>
      </w:tr>
    </w:tbl>
    <w:p w14:paraId="09CC0BA4" w14:textId="77777777" w:rsidR="00B27ED5" w:rsidRPr="00B27ED5" w:rsidRDefault="00B27ED5" w:rsidP="00B27ED5">
      <w:pPr>
        <w:pStyle w:val="Heading2"/>
        <w:rPr>
          <w:rFonts w:cs="Arial"/>
          <w:color w:val="05016D"/>
          <w:kern w:val="2"/>
          <w:sz w:val="26"/>
          <w:szCs w:val="26"/>
          <w:lang w:eastAsia="en-GB"/>
          <w14:ligatures w14:val="standardContextual"/>
        </w:rPr>
      </w:pPr>
      <w:r w:rsidRPr="00B27ED5">
        <w:rPr>
          <w:rFonts w:cs="Arial"/>
        </w:rPr>
        <w:t>1. Purpose and regulatory context</w:t>
      </w:r>
    </w:p>
    <w:p w14:paraId="73E7551D"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This Policy explains how the Firm identifies, prevents, manages and records conflicts of interest so that client outcomes are not harmed and the Firm’s decisions remain fair, objective and transparent. It is designed to support compliance with FCA requirements, including Principle 8 (conflicts of interest), the SYSC 10 conflicts framework, and the Consumer Duty (including the cross-cutting rule to act in good faith towards retail customers).</w:t>
      </w:r>
    </w:p>
    <w:p w14:paraId="0CB91EC4" w14:textId="77777777" w:rsidR="00B27ED5" w:rsidRPr="00B27ED5" w:rsidRDefault="00B27ED5" w:rsidP="00B27ED5">
      <w:pPr>
        <w:pStyle w:val="Heading2"/>
        <w:rPr>
          <w:rFonts w:cs="Arial"/>
          <w:color w:val="05016D"/>
          <w:kern w:val="2"/>
          <w:sz w:val="26"/>
          <w:szCs w:val="26"/>
          <w:lang w:eastAsia="en-GB"/>
          <w14:ligatures w14:val="standardContextual"/>
        </w:rPr>
      </w:pPr>
      <w:r w:rsidRPr="00B27ED5">
        <w:rPr>
          <w:rFonts w:cs="Arial"/>
        </w:rPr>
        <w:t>2. Policy principles</w:t>
      </w:r>
    </w:p>
    <w:p w14:paraId="34DE07F7"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The Firm applies the following principles when dealing with conflicts: client interests come first; conflicts are prevented where reasonably practicable through service design, governance and incentives; where conflicts cannot be avoided they are managed using proportionate controls to reduce the risk of client harm; disclosure is treated as a last resort and never as a substitute for proper organisational arrangements; decisions are documented so the Firm can evidence oversight and outcomes; and staff escalate uncertainty or potential detriment promptly.</w:t>
      </w:r>
    </w:p>
    <w:p w14:paraId="44E46280" w14:textId="77777777" w:rsidR="00B27ED5" w:rsidRPr="00B27ED5" w:rsidRDefault="00B27ED5" w:rsidP="00B27ED5">
      <w:pPr>
        <w:pStyle w:val="Heading2"/>
        <w:rPr>
          <w:rFonts w:cs="Arial"/>
          <w:color w:val="05016D"/>
          <w:kern w:val="2"/>
          <w:sz w:val="26"/>
          <w:szCs w:val="26"/>
          <w:lang w:eastAsia="en-GB"/>
          <w14:ligatures w14:val="standardContextual"/>
        </w:rPr>
      </w:pPr>
      <w:r w:rsidRPr="00B27ED5">
        <w:rPr>
          <w:rFonts w:cs="Arial"/>
        </w:rPr>
        <w:t>3. Governance and responsibilities</w:t>
      </w:r>
    </w:p>
    <w:p w14:paraId="08A3A531" w14:textId="77777777" w:rsidR="00B27ED5" w:rsidRPr="00B27ED5" w:rsidRDefault="00B27ED5" w:rsidP="00B27ED5">
      <w:pPr>
        <w:pStyle w:val="10MainText"/>
        <w:rPr>
          <w:rFonts w:ascii="Arial" w:hAnsi="Arial" w:cs="Arial"/>
          <w:color w:val="404040"/>
          <w:kern w:val="2"/>
          <w:lang w:val="en-GB"/>
          <w14:ligatures w14:val="standardContextual"/>
        </w:rPr>
      </w:pPr>
      <w:bookmarkStart w:id="3" w:name="_Toc39660112"/>
      <w:r w:rsidRPr="00B27ED5">
        <w:rPr>
          <w:rFonts w:ascii="Arial" w:hAnsi="Arial" w:cs="Arial"/>
          <w:lang w:val="en-GB"/>
        </w:rPr>
        <w:t xml:space="preserve">The Board/Partners approve this Policy, set the tone from the top and review conflicts oversight (including the Conflicts Register) at least annually to ensure adequate resourcing and controls. The Policy owner (for example, SMF16/Compliance Oversight) maintains the Policy, owns the Conflicts Register, provides advice and reports material conflicts and trends to senior management. Managers are responsible for identifying conflicts within their areas, ensuring staff comply with this Policy, and applying appropriate supervision and segregation arrangements. All staff and contractors must remain alert to conflicts, declare them promptly and follow any restrictions or controls applied. Outsourced providers must operate to </w:t>
      </w:r>
      <w:r w:rsidRPr="00B27ED5">
        <w:rPr>
          <w:rFonts w:ascii="Arial" w:hAnsi="Arial" w:cs="Arial"/>
          <w:lang w:val="en-GB"/>
        </w:rPr>
        <w:lastRenderedPageBreak/>
        <w:t>standards equivalent to this Policy and must notify the Firm of any conflicts relevant to services delivered on the Firm’s behalf.</w:t>
      </w:r>
    </w:p>
    <w:p w14:paraId="0904F05E" w14:textId="77777777" w:rsidR="00B27ED5" w:rsidRPr="00B27ED5" w:rsidRDefault="00B27ED5" w:rsidP="00B27ED5">
      <w:pPr>
        <w:pStyle w:val="Heading2"/>
        <w:rPr>
          <w:rFonts w:cs="Arial"/>
          <w:color w:val="05016D"/>
          <w:kern w:val="2"/>
          <w:sz w:val="26"/>
          <w:szCs w:val="26"/>
          <w:lang w:eastAsia="en-GB"/>
          <w14:ligatures w14:val="standardContextual"/>
        </w:rPr>
      </w:pPr>
      <w:r w:rsidRPr="00B27ED5">
        <w:rPr>
          <w:rFonts w:cs="Arial"/>
        </w:rPr>
        <w:t>4. Scope</w:t>
      </w:r>
    </w:p>
    <w:p w14:paraId="1D85F608"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This Policy applies to all business lines and activities, including (where relevant) advice, distribution, product governance, research, marketing, pricing, complaints handling, claims handling, supplier selection, recruitment, remuneration, and any service delivered by an outsourced provider. It applies to conflicts between: (</w:t>
      </w:r>
      <w:proofErr w:type="spellStart"/>
      <w:r w:rsidRPr="00B27ED5">
        <w:rPr>
          <w:rFonts w:ascii="Arial" w:hAnsi="Arial" w:cs="Arial"/>
          <w:lang w:val="en-GB"/>
        </w:rPr>
        <w:t>i</w:t>
      </w:r>
      <w:proofErr w:type="spellEnd"/>
      <w:r w:rsidRPr="00B27ED5">
        <w:rPr>
          <w:rFonts w:ascii="Arial" w:hAnsi="Arial" w:cs="Arial"/>
          <w:lang w:val="en-GB"/>
        </w:rPr>
        <w:t>) the Firm and a client; (ii) a staff member and a client; (iii) one client and another; and (iv) a third party and a client.</w:t>
      </w:r>
    </w:p>
    <w:bookmarkEnd w:id="3"/>
    <w:p w14:paraId="373C4701" w14:textId="77777777" w:rsidR="00B27ED5" w:rsidRPr="00B27ED5" w:rsidRDefault="00B27ED5" w:rsidP="00B27ED5">
      <w:pPr>
        <w:pStyle w:val="Heading2"/>
        <w:spacing w:before="360"/>
        <w:rPr>
          <w:rFonts w:cs="Arial"/>
          <w:color w:val="05016D"/>
          <w:kern w:val="2"/>
          <w:sz w:val="26"/>
          <w:szCs w:val="26"/>
          <w:lang w:eastAsia="en-GB"/>
          <w14:ligatures w14:val="standardContextual"/>
        </w:rPr>
      </w:pPr>
      <w:r w:rsidRPr="00B27ED5">
        <w:rPr>
          <w:rFonts w:cs="Arial"/>
        </w:rPr>
        <w:t>5. Definitions</w:t>
      </w:r>
    </w:p>
    <w:p w14:paraId="1E7CD0C0" w14:textId="77777777" w:rsidR="00B27ED5" w:rsidRPr="00B27ED5" w:rsidRDefault="00B27ED5" w:rsidP="00042EEB">
      <w:pPr>
        <w:pStyle w:val="10MainText"/>
        <w:numPr>
          <w:ilvl w:val="0"/>
          <w:numId w:val="18"/>
        </w:numPr>
        <w:ind w:left="567"/>
        <w:rPr>
          <w:rFonts w:ascii="Arial" w:hAnsi="Arial" w:cs="Arial"/>
          <w:color w:val="404040"/>
          <w:kern w:val="2"/>
          <w:lang w:val="en-GB"/>
          <w14:ligatures w14:val="standardContextual"/>
        </w:rPr>
      </w:pPr>
      <w:r w:rsidRPr="00B27ED5">
        <w:rPr>
          <w:rFonts w:ascii="Arial" w:hAnsi="Arial" w:cs="Arial"/>
          <w:b/>
          <w:bCs/>
          <w:lang w:val="en-GB"/>
        </w:rPr>
        <w:t>Conflict of interest:</w:t>
      </w:r>
      <w:r w:rsidRPr="00B27ED5">
        <w:rPr>
          <w:rFonts w:ascii="Arial" w:hAnsi="Arial" w:cs="Arial"/>
          <w:lang w:val="en-GB"/>
        </w:rPr>
        <w:t xml:space="preserve"> a situation where the Firm’s interests (or those of a relevant person or connected party) may compete with, diverge from, or unduly influence the Firm’s duty to act in a client’s best interests, or where the Firm’s duties to one client may conflict with duties owed to another client.</w:t>
      </w:r>
    </w:p>
    <w:p w14:paraId="29529011" w14:textId="77777777" w:rsidR="00B27ED5" w:rsidRPr="00B27ED5" w:rsidRDefault="00B27ED5" w:rsidP="00042EEB">
      <w:pPr>
        <w:pStyle w:val="10MainText"/>
        <w:numPr>
          <w:ilvl w:val="0"/>
          <w:numId w:val="18"/>
        </w:numPr>
        <w:ind w:left="567"/>
        <w:rPr>
          <w:rFonts w:ascii="Arial" w:hAnsi="Arial" w:cs="Arial"/>
          <w:lang w:val="en-GB"/>
        </w:rPr>
      </w:pPr>
      <w:r w:rsidRPr="00B27ED5">
        <w:rPr>
          <w:rFonts w:ascii="Arial" w:hAnsi="Arial" w:cs="Arial"/>
          <w:lang w:val="en-GB"/>
        </w:rPr>
        <w:t xml:space="preserve">A </w:t>
      </w:r>
      <w:r w:rsidRPr="00B27ED5">
        <w:rPr>
          <w:rFonts w:ascii="Arial" w:hAnsi="Arial" w:cs="Arial"/>
          <w:b/>
          <w:bCs/>
          <w:lang w:val="en-GB"/>
        </w:rPr>
        <w:t>potential conflict</w:t>
      </w:r>
      <w:r w:rsidRPr="00B27ED5">
        <w:rPr>
          <w:rFonts w:ascii="Arial" w:hAnsi="Arial" w:cs="Arial"/>
          <w:lang w:val="en-GB"/>
        </w:rPr>
        <w:t xml:space="preserve"> is a situation that could reasonably develop into a conflict if circumstances change. </w:t>
      </w:r>
    </w:p>
    <w:p w14:paraId="0E570FDA" w14:textId="77777777" w:rsidR="00B27ED5" w:rsidRPr="00B27ED5" w:rsidRDefault="00B27ED5" w:rsidP="00042EEB">
      <w:pPr>
        <w:pStyle w:val="10MainText"/>
        <w:numPr>
          <w:ilvl w:val="0"/>
          <w:numId w:val="18"/>
        </w:numPr>
        <w:ind w:left="567"/>
        <w:rPr>
          <w:rFonts w:ascii="Arial" w:hAnsi="Arial" w:cs="Arial"/>
          <w:lang w:val="en-GB"/>
        </w:rPr>
      </w:pPr>
      <w:r w:rsidRPr="00B27ED5">
        <w:rPr>
          <w:rFonts w:ascii="Arial" w:hAnsi="Arial" w:cs="Arial"/>
          <w:lang w:val="en-GB"/>
        </w:rPr>
        <w:t xml:space="preserve">A </w:t>
      </w:r>
      <w:r w:rsidRPr="00B27ED5">
        <w:rPr>
          <w:rFonts w:ascii="Arial" w:hAnsi="Arial" w:cs="Arial"/>
          <w:b/>
          <w:bCs/>
          <w:lang w:val="en-GB"/>
        </w:rPr>
        <w:t>material conflict</w:t>
      </w:r>
      <w:r w:rsidRPr="00B27ED5">
        <w:rPr>
          <w:rFonts w:ascii="Arial" w:hAnsi="Arial" w:cs="Arial"/>
          <w:lang w:val="en-GB"/>
        </w:rPr>
        <w:t xml:space="preserve"> is one that could reasonably be expected to result in client detriment, a regulatory breach, or reputational harm if not effectively controlled. </w:t>
      </w:r>
    </w:p>
    <w:p w14:paraId="73509F22" w14:textId="77777777" w:rsidR="00B27ED5" w:rsidRPr="00B27ED5" w:rsidRDefault="00B27ED5" w:rsidP="00042EEB">
      <w:pPr>
        <w:pStyle w:val="10MainText"/>
        <w:numPr>
          <w:ilvl w:val="0"/>
          <w:numId w:val="18"/>
        </w:numPr>
        <w:ind w:left="567"/>
        <w:rPr>
          <w:rFonts w:ascii="Arial" w:hAnsi="Arial" w:cs="Arial"/>
          <w:lang w:val="en-GB"/>
        </w:rPr>
      </w:pPr>
      <w:r w:rsidRPr="00B27ED5">
        <w:rPr>
          <w:rFonts w:ascii="Arial" w:hAnsi="Arial" w:cs="Arial"/>
          <w:lang w:val="en-GB"/>
        </w:rPr>
        <w:t xml:space="preserve">A </w:t>
      </w:r>
      <w:r w:rsidRPr="00B27ED5">
        <w:rPr>
          <w:rFonts w:ascii="Arial" w:hAnsi="Arial" w:cs="Arial"/>
          <w:b/>
          <w:bCs/>
          <w:lang w:val="en-GB"/>
        </w:rPr>
        <w:t>relevant person</w:t>
      </w:r>
      <w:r w:rsidRPr="00B27ED5">
        <w:rPr>
          <w:rFonts w:ascii="Arial" w:hAnsi="Arial" w:cs="Arial"/>
          <w:lang w:val="en-GB"/>
        </w:rPr>
        <w:t xml:space="preserve"> includes any director/partner, employee, appointed representative, contractor, or other person whose services are under the Firm’s control. </w:t>
      </w:r>
    </w:p>
    <w:p w14:paraId="356111FE" w14:textId="3D07E7B3" w:rsidR="00B27ED5" w:rsidRPr="00B27ED5" w:rsidRDefault="00B27ED5" w:rsidP="00042EEB">
      <w:pPr>
        <w:pStyle w:val="10MainText"/>
        <w:numPr>
          <w:ilvl w:val="0"/>
          <w:numId w:val="18"/>
        </w:numPr>
        <w:ind w:left="567"/>
        <w:rPr>
          <w:rFonts w:ascii="Arial" w:hAnsi="Arial" w:cs="Arial"/>
          <w:color w:val="404040"/>
          <w:kern w:val="2"/>
          <w:lang w:val="en-GB"/>
          <w14:ligatures w14:val="standardContextual"/>
        </w:rPr>
      </w:pPr>
      <w:r w:rsidRPr="00B27ED5">
        <w:rPr>
          <w:rFonts w:ascii="Arial" w:hAnsi="Arial" w:cs="Arial"/>
          <w:lang w:val="en-GB"/>
        </w:rPr>
        <w:t xml:space="preserve">A </w:t>
      </w:r>
      <w:r w:rsidRPr="00B27ED5">
        <w:rPr>
          <w:rFonts w:ascii="Arial" w:hAnsi="Arial" w:cs="Arial"/>
          <w:b/>
          <w:bCs/>
          <w:lang w:val="en-GB"/>
        </w:rPr>
        <w:t>connected/associated party</w:t>
      </w:r>
      <w:r w:rsidRPr="00B27ED5">
        <w:rPr>
          <w:rFonts w:ascii="Arial" w:hAnsi="Arial" w:cs="Arial"/>
          <w:lang w:val="en-GB"/>
        </w:rPr>
        <w:t xml:space="preserve"> is a person or entity linked to the Firm or a relevant person (for example through ownership/control, a close relationship, or a business interest) that may create a competing interest.</w:t>
      </w:r>
    </w:p>
    <w:p w14:paraId="67FC189C" w14:textId="77777777" w:rsidR="00B27ED5" w:rsidRPr="00B27ED5" w:rsidRDefault="00B27ED5" w:rsidP="00B27ED5">
      <w:pPr>
        <w:pStyle w:val="Heading2"/>
        <w:rPr>
          <w:rFonts w:cs="Arial"/>
          <w:color w:val="05016D"/>
          <w:kern w:val="2"/>
          <w:sz w:val="26"/>
          <w:szCs w:val="26"/>
          <w:lang w:eastAsia="en-GB"/>
          <w14:ligatures w14:val="standardContextual"/>
        </w:rPr>
      </w:pPr>
      <w:r w:rsidRPr="00B27ED5">
        <w:rPr>
          <w:rFonts w:cs="Arial"/>
        </w:rPr>
        <w:t>6. How conflicts arise (typical sources)</w:t>
      </w:r>
    </w:p>
    <w:p w14:paraId="4D49029F"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Conflicts commonly arise from financial incentives (fees, commissions where applicable, targets or bonus arrangements), ownership interests or close links with providers and suppliers, gifts/hospitality and other benefits, individuals performing multiple roles where independence is required, allocation and prioritisation decisions when capacity is limited, access to confidential or inside information (including for personal dealing), introducer and referral relationships, complaints handling and remediation decisions, and situations involving vulnerability or power imbalance.</w:t>
      </w:r>
    </w:p>
    <w:p w14:paraId="04F66176" w14:textId="77777777" w:rsidR="00B27ED5" w:rsidRPr="00B27ED5" w:rsidRDefault="00B27ED5" w:rsidP="00B27ED5">
      <w:pPr>
        <w:pStyle w:val="Heading2"/>
        <w:rPr>
          <w:rFonts w:cs="Arial"/>
          <w:color w:val="05016D"/>
          <w:kern w:val="2"/>
          <w:sz w:val="26"/>
          <w:szCs w:val="26"/>
          <w:lang w:eastAsia="en-GB"/>
          <w14:ligatures w14:val="standardContextual"/>
        </w:rPr>
      </w:pPr>
      <w:r w:rsidRPr="00B27ED5">
        <w:rPr>
          <w:rFonts w:cs="Arial"/>
        </w:rPr>
        <w:t>7. Identification and reporting</w:t>
      </w:r>
    </w:p>
    <w:p w14:paraId="7B059B38"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Conflicts must be identified at the earliest opportunity. Staff must report an actual or potential conflict as soon as they become aware of it—before proceeding with the relevant activity wherever possible.</w:t>
      </w:r>
    </w:p>
    <w:p w14:paraId="2120ABC1" w14:textId="2EE0C895"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 xml:space="preserve">When a conflict is identified, staff should pause the activity where practicable, notify </w:t>
      </w:r>
      <w:r w:rsidRPr="00042EEB">
        <w:rPr>
          <w:rFonts w:ascii="Arial" w:hAnsi="Arial" w:cs="Arial"/>
          <w:color w:val="EE0000"/>
          <w:lang w:val="en-GB"/>
        </w:rPr>
        <w:t xml:space="preserve">Compliance / Conflicts Owner </w:t>
      </w:r>
      <w:r w:rsidRPr="00B27ED5">
        <w:rPr>
          <w:rFonts w:ascii="Arial" w:hAnsi="Arial" w:cs="Arial"/>
          <w:lang w:val="en-GB"/>
        </w:rPr>
        <w:t xml:space="preserve">via </w:t>
      </w:r>
      <w:r w:rsidRPr="00042EEB">
        <w:rPr>
          <w:rFonts w:ascii="Arial" w:hAnsi="Arial" w:cs="Arial"/>
          <w:color w:val="EE0000"/>
          <w:lang w:val="en-GB"/>
        </w:rPr>
        <w:t>conflicts reporting route</w:t>
      </w:r>
      <w:r w:rsidRPr="00B27ED5">
        <w:rPr>
          <w:rFonts w:ascii="Arial" w:hAnsi="Arial" w:cs="Arial"/>
          <w:lang w:val="en-GB"/>
        </w:rPr>
        <w:t xml:space="preserve"> </w:t>
      </w:r>
      <w:r w:rsidRPr="00042EEB">
        <w:rPr>
          <w:rFonts w:ascii="Arial" w:hAnsi="Arial" w:cs="Arial"/>
          <w:lang w:val="en-GB"/>
        </w:rPr>
        <w:t>with</w:t>
      </w:r>
      <w:r w:rsidRPr="00042EEB">
        <w:rPr>
          <w:rFonts w:ascii="Arial" w:hAnsi="Arial" w:cs="Arial"/>
          <w:color w:val="EE0000"/>
          <w:lang w:val="en-GB"/>
        </w:rPr>
        <w:t xml:space="preserve"> </w:t>
      </w:r>
      <w:r w:rsidRPr="00B27ED5">
        <w:rPr>
          <w:rFonts w:ascii="Arial" w:hAnsi="Arial" w:cs="Arial"/>
          <w:lang w:val="en-GB"/>
        </w:rPr>
        <w:t>the relevant facts, and agree the control plan before proceeding. The conflict, the controls applied, and any required disclosure/consent must be recorded in the Conflicts Register and kept under review until it is closed with evidence of the outcome.</w:t>
      </w:r>
    </w:p>
    <w:p w14:paraId="7D69E10D" w14:textId="77777777" w:rsidR="00B27ED5" w:rsidRPr="00B27ED5" w:rsidRDefault="00B27ED5" w:rsidP="00B27ED5">
      <w:pPr>
        <w:pStyle w:val="Heading2"/>
        <w:spacing w:before="240"/>
        <w:rPr>
          <w:rFonts w:cs="Arial"/>
          <w:color w:val="05016D"/>
          <w:kern w:val="2"/>
          <w:sz w:val="26"/>
          <w:szCs w:val="26"/>
          <w:lang w:eastAsia="en-GB"/>
          <w14:ligatures w14:val="standardContextual"/>
        </w:rPr>
      </w:pPr>
      <w:r w:rsidRPr="00B27ED5">
        <w:rPr>
          <w:rFonts w:cs="Arial"/>
        </w:rPr>
        <w:lastRenderedPageBreak/>
        <w:t>8. Controls and mitigations</w:t>
      </w:r>
    </w:p>
    <w:p w14:paraId="61EBBD09"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The Firm selects and applies controls proportionate to the nature, scale and complexity of the conflict. Controls may be preventative (designed to avoid the conflict), detective (to identify it quickly) and/or corrective (to remedy or limit harm).</w:t>
      </w:r>
    </w:p>
    <w:p w14:paraId="2BBFF24A" w14:textId="77777777" w:rsidR="00B27ED5" w:rsidRPr="00B27ED5" w:rsidRDefault="00B27ED5" w:rsidP="00B27ED5">
      <w:pPr>
        <w:pStyle w:val="Heading3"/>
        <w:rPr>
          <w:rFonts w:cs="Arial"/>
          <w:color w:val="404040"/>
          <w:kern w:val="2"/>
          <w:sz w:val="22"/>
          <w:szCs w:val="22"/>
          <w14:ligatures w14:val="standardContextual"/>
        </w:rPr>
      </w:pPr>
      <w:bookmarkStart w:id="4" w:name="_Toc39660114"/>
      <w:r w:rsidRPr="00B27ED5">
        <w:rPr>
          <w:rFonts w:cs="Arial"/>
        </w:rPr>
        <w:t>8.1 Remuneration and incentives</w:t>
      </w:r>
    </w:p>
    <w:bookmarkEnd w:id="4"/>
    <w:p w14:paraId="7DBEC98F"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Pay and performance arrangements must not incentivise poor client outcomes or bias advice. Where sales-related incentives exist, the Firm applies enhanced monitoring (for example file reviews, thematic reviews, and MI on switching/churn, vulnerability outcomes, cancellations and complaints). Compliance and oversight roles are structured to support independent challenge and are not determined by sales performance.</w:t>
      </w:r>
    </w:p>
    <w:p w14:paraId="1B477A7F" w14:textId="77777777" w:rsidR="00B27ED5" w:rsidRPr="00B27ED5" w:rsidRDefault="00B27ED5" w:rsidP="00B27ED5">
      <w:pPr>
        <w:pStyle w:val="Heading3"/>
        <w:rPr>
          <w:rFonts w:cs="Arial"/>
          <w:color w:val="404040"/>
          <w:kern w:val="2"/>
          <w:sz w:val="22"/>
          <w:szCs w:val="22"/>
          <w14:ligatures w14:val="standardContextual"/>
        </w:rPr>
      </w:pPr>
      <w:r w:rsidRPr="00B27ED5">
        <w:rPr>
          <w:rFonts w:cs="Arial"/>
        </w:rPr>
        <w:t>8.2 Gifts, hospitality and inducements</w:t>
      </w:r>
    </w:p>
    <w:p w14:paraId="2033243E" w14:textId="705E5A54"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 xml:space="preserve">Gifts, hospitality and other benefits may only be accepted or offered where reasonable and proportionate and where they do not impair (or appear to impair) independence. Cash (or cash-equivalent) gifts are prohibited. All items are recorded on the Gifts &amp; Hospitality Register and pre-approval is required </w:t>
      </w:r>
      <w:r w:rsidRPr="00042EEB">
        <w:rPr>
          <w:rFonts w:ascii="Arial" w:hAnsi="Arial" w:cs="Arial"/>
          <w:lang w:val="en-GB"/>
        </w:rPr>
        <w:t>above gifts £</w:t>
      </w:r>
      <w:r w:rsidR="00E2177B">
        <w:rPr>
          <w:rFonts w:ascii="Arial" w:hAnsi="Arial" w:cs="Arial"/>
          <w:lang w:val="en-GB"/>
        </w:rPr>
        <w:t>XX</w:t>
      </w:r>
      <w:r w:rsidRPr="00042EEB">
        <w:rPr>
          <w:rFonts w:ascii="Arial" w:hAnsi="Arial" w:cs="Arial"/>
          <w:lang w:val="en-GB"/>
        </w:rPr>
        <w:t xml:space="preserve"> and hospitality £</w:t>
      </w:r>
      <w:r w:rsidR="00E2177B" w:rsidRPr="00E2177B">
        <w:rPr>
          <w:rFonts w:ascii="Arial" w:hAnsi="Arial" w:cs="Arial"/>
          <w:color w:val="EE0000"/>
          <w:lang w:val="en-GB"/>
        </w:rPr>
        <w:t>XX</w:t>
      </w:r>
      <w:r w:rsidRPr="00E2177B">
        <w:rPr>
          <w:rFonts w:ascii="Arial" w:hAnsi="Arial" w:cs="Arial"/>
          <w:color w:val="EE0000"/>
          <w:lang w:val="en-GB"/>
        </w:rPr>
        <w:t xml:space="preserve"> </w:t>
      </w:r>
      <w:r w:rsidRPr="00042EEB">
        <w:rPr>
          <w:rFonts w:ascii="Arial" w:hAnsi="Arial" w:cs="Arial"/>
          <w:lang w:val="en-GB"/>
        </w:rPr>
        <w:t>(or</w:t>
      </w:r>
      <w:r w:rsidRPr="00B27ED5">
        <w:rPr>
          <w:rFonts w:ascii="Arial" w:hAnsi="Arial" w:cs="Arial"/>
          <w:lang w:val="en-GB"/>
        </w:rPr>
        <w:t xml:space="preserve"> lower thresholds for higher-risk relationships). If in doubt, staff must seek guidance from </w:t>
      </w:r>
      <w:r w:rsidR="00E2177B" w:rsidRPr="00042EEB">
        <w:rPr>
          <w:rFonts w:ascii="Arial" w:hAnsi="Arial" w:cs="Arial"/>
          <w:color w:val="EE0000"/>
          <w:lang w:val="en-GB"/>
        </w:rPr>
        <w:t xml:space="preserve">Compliance / Conflicts Owner </w:t>
      </w:r>
      <w:r w:rsidRPr="00B27ED5">
        <w:rPr>
          <w:rFonts w:ascii="Arial" w:hAnsi="Arial" w:cs="Arial"/>
          <w:lang w:val="en-GB"/>
        </w:rPr>
        <w:t>before accepting or offering anything.</w:t>
      </w:r>
    </w:p>
    <w:p w14:paraId="65022AA6" w14:textId="77777777" w:rsidR="00B27ED5" w:rsidRPr="00B27ED5" w:rsidRDefault="00B27ED5" w:rsidP="00B27ED5">
      <w:pPr>
        <w:pStyle w:val="Heading3"/>
        <w:rPr>
          <w:rFonts w:cs="Arial"/>
          <w:color w:val="404040"/>
          <w:kern w:val="2"/>
          <w:sz w:val="22"/>
          <w:szCs w:val="22"/>
          <w14:ligatures w14:val="standardContextual"/>
        </w:rPr>
      </w:pPr>
      <w:r w:rsidRPr="00B27ED5">
        <w:rPr>
          <w:rFonts w:cs="Arial"/>
        </w:rPr>
        <w:t>8.3 Ownership interests, close links and associated firms</w:t>
      </w:r>
    </w:p>
    <w:p w14:paraId="1F2B1120"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Where the Firm (or a relevant person) has an ownership interest or other close link with a provider, platform, manufacturer, introducer or supplier, the Firm documents how client interests remain paramount. Product/provider selection decisions are evidenced (including comparison against reasonable alternatives, target market and value considerations, and why the chosen solution meets client needs). Where appropriate, the Firm applies independent oversight (for example escalation to a non-conflicted senior manager, non-executive oversight or external review). Any required client disclosure is clear, fair and not misleading and is made before the client is asked to proceed.</w:t>
      </w:r>
    </w:p>
    <w:p w14:paraId="523CC4E7" w14:textId="77777777" w:rsidR="00B27ED5" w:rsidRPr="00B27ED5" w:rsidRDefault="00B27ED5" w:rsidP="00B27ED5">
      <w:pPr>
        <w:pStyle w:val="Heading3"/>
        <w:rPr>
          <w:rFonts w:cs="Arial"/>
          <w:color w:val="404040"/>
          <w:kern w:val="2"/>
          <w:sz w:val="22"/>
          <w:szCs w:val="22"/>
          <w14:ligatures w14:val="standardContextual"/>
        </w:rPr>
      </w:pPr>
      <w:r w:rsidRPr="00B27ED5">
        <w:rPr>
          <w:rFonts w:cs="Arial"/>
        </w:rPr>
        <w:t>8.4 Segregation of duties and independent oversight</w:t>
      </w:r>
    </w:p>
    <w:p w14:paraId="005AA851"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The Firm separates (as far as practicable) revenue-generating activity from oversight and assurance activity, and ensures appropriate independent checks so that no individual can initiate, approve, execute and reconcile the same activity without challenge. Where full separation is not possible (for example in smaller firms), compensating controls are applied such as second-person checks, enhanced supervision and periodic independent file reviews. Any exception (and the control relied upon) is recorded in the Conflicts Register.</w:t>
      </w:r>
    </w:p>
    <w:p w14:paraId="30F7C919" w14:textId="77777777" w:rsidR="00B27ED5" w:rsidRPr="00B27ED5" w:rsidRDefault="00B27ED5" w:rsidP="00B27ED5">
      <w:pPr>
        <w:pStyle w:val="Heading3"/>
        <w:rPr>
          <w:rFonts w:cs="Arial"/>
          <w:color w:val="404040"/>
          <w:kern w:val="2"/>
          <w:sz w:val="22"/>
          <w:szCs w:val="22"/>
          <w14:ligatures w14:val="standardContextual"/>
        </w:rPr>
      </w:pPr>
      <w:r w:rsidRPr="00B27ED5">
        <w:rPr>
          <w:rFonts w:cs="Arial"/>
        </w:rPr>
        <w:t>8.5 Information barriers and confidential information</w:t>
      </w:r>
    </w:p>
    <w:p w14:paraId="2CEA9B3A" w14:textId="5898A7D1" w:rsidR="00B27ED5" w:rsidRPr="00B27ED5" w:rsidRDefault="00B27ED5" w:rsidP="00B27ED5">
      <w:pPr>
        <w:pStyle w:val="10MainText"/>
        <w:rPr>
          <w:rFonts w:ascii="Arial" w:hAnsi="Arial" w:cs="Arial"/>
          <w:color w:val="404040"/>
          <w:kern w:val="2"/>
          <w:lang w:val="en-GB"/>
          <w14:ligatures w14:val="standardContextual"/>
        </w:rPr>
      </w:pPr>
      <w:bookmarkStart w:id="5" w:name="_Toc39660115"/>
      <w:r w:rsidRPr="00B27ED5">
        <w:rPr>
          <w:rFonts w:ascii="Arial" w:hAnsi="Arial" w:cs="Arial"/>
          <w:lang w:val="en-GB"/>
        </w:rPr>
        <w:t>Confidential client and firm information is shared on a ‘need to know’ basis only. Access to sensitive information is restricted (including through system permissions) and physical or operational separation is used where appropriate. If a person becomes aware of potential inside information, they must inform</w:t>
      </w:r>
      <w:r w:rsidR="00E2177B">
        <w:rPr>
          <w:rFonts w:ascii="Arial" w:hAnsi="Arial" w:cs="Arial"/>
          <w:lang w:val="en-GB"/>
        </w:rPr>
        <w:t xml:space="preserve"> </w:t>
      </w:r>
      <w:r w:rsidR="00E2177B" w:rsidRPr="00E2177B">
        <w:rPr>
          <w:rFonts w:ascii="Arial" w:hAnsi="Arial" w:cs="Arial"/>
          <w:color w:val="EE0000"/>
          <w:lang w:val="en-GB"/>
        </w:rPr>
        <w:t xml:space="preserve">Compliance </w:t>
      </w:r>
      <w:r w:rsidRPr="00B27ED5">
        <w:rPr>
          <w:rFonts w:ascii="Arial" w:hAnsi="Arial" w:cs="Arial"/>
          <w:lang w:val="en-GB"/>
        </w:rPr>
        <w:t>immediately and follow any dealing restrictions.</w:t>
      </w:r>
    </w:p>
    <w:p w14:paraId="3F51CB73" w14:textId="77777777" w:rsidR="00B27ED5" w:rsidRPr="00B27ED5" w:rsidRDefault="00B27ED5" w:rsidP="00B27ED5">
      <w:pPr>
        <w:pStyle w:val="Heading3"/>
        <w:rPr>
          <w:rFonts w:cs="Arial"/>
          <w:color w:val="404040"/>
          <w:kern w:val="2"/>
          <w:sz w:val="22"/>
          <w:szCs w:val="22"/>
          <w14:ligatures w14:val="standardContextual"/>
        </w:rPr>
      </w:pPr>
      <w:r w:rsidRPr="00B27ED5">
        <w:rPr>
          <w:rFonts w:cs="Arial"/>
        </w:rPr>
        <w:t>8.6 Personal account dealing (PAD)</w:t>
      </w:r>
    </w:p>
    <w:bookmarkEnd w:id="5"/>
    <w:p w14:paraId="3FF6CA47" w14:textId="6EF60E45"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 xml:space="preserve">Staff must not use confidential or inside information for personal benefit or to benefit others. Personal transactions in </w:t>
      </w:r>
      <w:r w:rsidR="00E2177B" w:rsidRPr="00E2177B">
        <w:rPr>
          <w:rFonts w:ascii="Arial" w:hAnsi="Arial" w:cs="Arial"/>
          <w:color w:val="EE0000"/>
          <w:lang w:val="en-GB"/>
        </w:rPr>
        <w:t>scope instruments</w:t>
      </w:r>
      <w:r w:rsidRPr="00B27ED5">
        <w:rPr>
          <w:rFonts w:ascii="Arial" w:hAnsi="Arial" w:cs="Arial"/>
          <w:lang w:val="en-GB"/>
        </w:rPr>
        <w:t xml:space="preserve"> require pre-approval from </w:t>
      </w:r>
      <w:r w:rsidRPr="00E2177B">
        <w:rPr>
          <w:rFonts w:ascii="Arial" w:hAnsi="Arial" w:cs="Arial"/>
          <w:color w:val="EE0000"/>
          <w:lang w:val="en-GB"/>
        </w:rPr>
        <w:t xml:space="preserve">Compliance / </w:t>
      </w:r>
      <w:r w:rsidRPr="00E2177B">
        <w:rPr>
          <w:rFonts w:ascii="Arial" w:hAnsi="Arial" w:cs="Arial"/>
          <w:color w:val="EE0000"/>
          <w:lang w:val="en-GB"/>
        </w:rPr>
        <w:lastRenderedPageBreak/>
        <w:t>authorised approver</w:t>
      </w:r>
      <w:r w:rsidRPr="00B27ED5">
        <w:rPr>
          <w:rFonts w:ascii="Arial" w:hAnsi="Arial" w:cs="Arial"/>
          <w:lang w:val="en-GB"/>
        </w:rPr>
        <w:t xml:space="preserve"> and must be recorded in the PAD Register. The Firm may impose dealing restrictions, blackout periods, or require disposal where a holding creates an unacceptable conflict, and staff complete an annual conflicts/PAD declaration.</w:t>
      </w:r>
    </w:p>
    <w:p w14:paraId="79BAD4EA" w14:textId="77777777" w:rsidR="00B27ED5" w:rsidRPr="00B27ED5" w:rsidRDefault="00B27ED5" w:rsidP="00B27ED5">
      <w:pPr>
        <w:pStyle w:val="Heading3"/>
        <w:rPr>
          <w:rFonts w:cs="Arial"/>
          <w:color w:val="404040"/>
          <w:kern w:val="2"/>
          <w:sz w:val="22"/>
          <w:szCs w:val="22"/>
          <w14:ligatures w14:val="standardContextual"/>
        </w:rPr>
      </w:pPr>
      <w:r w:rsidRPr="00B27ED5">
        <w:rPr>
          <w:rFonts w:cs="Arial"/>
        </w:rPr>
        <w:t>8.7 Third-party relationships, introducers and suppliers</w:t>
      </w:r>
    </w:p>
    <w:p w14:paraId="0F870E05"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Introducer and supplier arrangements must be documented and approved in line with delegated authorities. Where referral fees or other benefits exist, the Firm assesses the risk to client outcomes and ensures any required disclosure is made. The Firm performs proportionate due diligence and monitors ongoing performance, including any conflicts the third party may introduce.</w:t>
      </w:r>
    </w:p>
    <w:p w14:paraId="4B3196C7" w14:textId="77777777" w:rsidR="00B27ED5" w:rsidRPr="00B27ED5" w:rsidRDefault="00B27ED5" w:rsidP="00B27ED5">
      <w:pPr>
        <w:pStyle w:val="Heading3"/>
        <w:rPr>
          <w:rFonts w:cs="Arial"/>
          <w:color w:val="404040"/>
          <w:kern w:val="2"/>
          <w:sz w:val="22"/>
          <w:szCs w:val="22"/>
          <w14:ligatures w14:val="standardContextual"/>
        </w:rPr>
      </w:pPr>
      <w:r w:rsidRPr="00B27ED5">
        <w:rPr>
          <w:rFonts w:cs="Arial"/>
        </w:rPr>
        <w:t>8.8 Allocation, suitability and fair treatment across clients</w:t>
      </w:r>
    </w:p>
    <w:p w14:paraId="48723CA4"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Where resources are limited (for example appointment availability), allocation decisions are made using objective criteria and recorded where relevant. The Firm avoids favouring one client (or group) over another due to fees, relationships or internal convenience. Suitability decisions are evidence-based and consistent with the client’s needs and circumstances.</w:t>
      </w:r>
    </w:p>
    <w:p w14:paraId="618D2C14" w14:textId="77777777" w:rsidR="00B27ED5" w:rsidRPr="00B27ED5" w:rsidRDefault="00B27ED5" w:rsidP="00B27ED5">
      <w:pPr>
        <w:pStyle w:val="Heading3"/>
        <w:rPr>
          <w:rFonts w:cs="Arial"/>
          <w:color w:val="404040"/>
          <w:kern w:val="2"/>
          <w:sz w:val="22"/>
          <w:szCs w:val="22"/>
          <w14:ligatures w14:val="standardContextual"/>
        </w:rPr>
      </w:pPr>
      <w:r w:rsidRPr="00B27ED5">
        <w:rPr>
          <w:rFonts w:cs="Arial"/>
        </w:rPr>
        <w:t>8.9 Complaints, redress and remediation</w:t>
      </w:r>
    </w:p>
    <w:p w14:paraId="7FE0E68F"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Complaints are handled fairly and promptly, with appropriate independence from the original decision-maker where practicable. Any incentive that could bias complaint outcomes is prohibited. Root causes and conflicts trends are reported to senior management and used to improve controls.</w:t>
      </w:r>
    </w:p>
    <w:p w14:paraId="71FA0058" w14:textId="77777777" w:rsidR="00B27ED5" w:rsidRPr="00B27ED5" w:rsidRDefault="00B27ED5" w:rsidP="00B27ED5">
      <w:pPr>
        <w:pStyle w:val="Heading2"/>
        <w:spacing w:before="240"/>
        <w:rPr>
          <w:rFonts w:cs="Arial"/>
          <w:color w:val="05016D"/>
          <w:kern w:val="2"/>
          <w:sz w:val="26"/>
          <w:szCs w:val="26"/>
          <w:lang w:eastAsia="en-GB"/>
          <w14:ligatures w14:val="standardContextual"/>
        </w:rPr>
      </w:pPr>
      <w:r w:rsidRPr="00B27ED5">
        <w:rPr>
          <w:rFonts w:cs="Arial"/>
        </w:rPr>
        <w:t>9. Disclosure, client consent, and declining to act</w:t>
      </w:r>
    </w:p>
    <w:p w14:paraId="1EEC2EAD"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If, after applying controls, the Firm is not reasonably confident that the risk of client detriment has been adequately mitigated, the Firm will (as a last resort) disclose the conflict to the client in a durable medium before proceeding. The disclosure will be clear, specific and include enough detail for the client to make an informed decision.</w:t>
      </w:r>
    </w:p>
    <w:p w14:paraId="65C75C51" w14:textId="77777777" w:rsidR="00B27ED5" w:rsidRPr="00B27ED5" w:rsidRDefault="00B27ED5" w:rsidP="00B27ED5">
      <w:pPr>
        <w:pStyle w:val="10MainText"/>
        <w:rPr>
          <w:rFonts w:ascii="Arial" w:hAnsi="Arial" w:cs="Arial"/>
          <w:color w:val="404040"/>
          <w:kern w:val="2"/>
          <w:lang w:val="en-GB"/>
          <w14:ligatures w14:val="standardContextual"/>
        </w:rPr>
      </w:pPr>
      <w:bookmarkStart w:id="6" w:name="_Toc39660121"/>
      <w:r w:rsidRPr="00B27ED5">
        <w:rPr>
          <w:rFonts w:ascii="Arial" w:hAnsi="Arial" w:cs="Arial"/>
          <w:lang w:val="en-GB"/>
        </w:rPr>
        <w:t>Where disclosure is required, it describes the nature and source of the conflict, the risks to the client, and the steps taken to mitigate those risks. The client’s decision (including any consent) is recorded on the client file where relevant. If the conflict cannot be managed to protect client interests, the Firm will decline to act or will cease to act (as appropriate) and will explain this to the client.</w:t>
      </w:r>
    </w:p>
    <w:p w14:paraId="2C2D757B" w14:textId="77777777" w:rsidR="00B27ED5" w:rsidRPr="00B27ED5" w:rsidRDefault="00B27ED5" w:rsidP="00B27ED5">
      <w:pPr>
        <w:pStyle w:val="Heading2"/>
        <w:rPr>
          <w:rFonts w:cs="Arial"/>
          <w:color w:val="05016D"/>
          <w:kern w:val="2"/>
          <w:sz w:val="26"/>
          <w:szCs w:val="26"/>
          <w:lang w:eastAsia="en-GB"/>
          <w14:ligatures w14:val="standardContextual"/>
        </w:rPr>
      </w:pPr>
      <w:r w:rsidRPr="00B27ED5">
        <w:rPr>
          <w:rFonts w:cs="Arial"/>
        </w:rPr>
        <w:t>10. Conflicts Register and record keeping</w:t>
      </w:r>
    </w:p>
    <w:p w14:paraId="6700B24B"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 xml:space="preserve">The Firm maintains a </w:t>
      </w:r>
      <w:r w:rsidRPr="00B27ED5">
        <w:rPr>
          <w:rFonts w:ascii="Arial" w:hAnsi="Arial" w:cs="Arial"/>
          <w:b/>
          <w:bCs/>
          <w:lang w:val="en-GB"/>
        </w:rPr>
        <w:t>Conflicts Register</w:t>
      </w:r>
      <w:r w:rsidRPr="00B27ED5">
        <w:rPr>
          <w:rFonts w:ascii="Arial" w:hAnsi="Arial" w:cs="Arial"/>
          <w:lang w:val="en-GB"/>
        </w:rPr>
        <w:t xml:space="preserve"> capturing identified, potential and material conflicts, the risk assessment, agreed controls, whether disclosure/consent was required, and how/when the conflict was closed. Related registers are maintained where applicable (for example Gifts &amp; Hospitality, PAD and Outside Business Interests). Records are retained for </w:t>
      </w:r>
      <w:r w:rsidRPr="00E2177B">
        <w:rPr>
          <w:rFonts w:ascii="Arial" w:hAnsi="Arial" w:cs="Arial"/>
          <w:color w:val="EE0000"/>
          <w:lang w:val="en-GB"/>
        </w:rPr>
        <w:t xml:space="preserve">[retention period] </w:t>
      </w:r>
      <w:r w:rsidRPr="00B27ED5">
        <w:rPr>
          <w:rFonts w:ascii="Arial" w:hAnsi="Arial" w:cs="Arial"/>
          <w:lang w:val="en-GB"/>
        </w:rPr>
        <w:t>(typically at least six years) and must be retrievable for oversight, audit and regulatory purposes.</w:t>
      </w:r>
    </w:p>
    <w:p w14:paraId="20C4D372" w14:textId="77777777" w:rsidR="00B27ED5" w:rsidRPr="00B27ED5" w:rsidRDefault="00B27ED5" w:rsidP="00B27ED5">
      <w:pPr>
        <w:pStyle w:val="Heading2"/>
        <w:rPr>
          <w:rFonts w:cs="Arial"/>
          <w:color w:val="05016D"/>
          <w:kern w:val="2"/>
          <w:sz w:val="26"/>
          <w:szCs w:val="26"/>
          <w:lang w:eastAsia="en-GB"/>
          <w14:ligatures w14:val="standardContextual"/>
        </w:rPr>
      </w:pPr>
      <w:r w:rsidRPr="00B27ED5">
        <w:rPr>
          <w:rFonts w:cs="Arial"/>
        </w:rPr>
        <w:t>11. Monitoring, training and assurance</w:t>
      </w:r>
    </w:p>
    <w:p w14:paraId="39F07AFB"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 xml:space="preserve">All staff receive conflicts training at induction and at least annually thereafter, with additional training for higher-risk roles. The Firm uses management information and monitoring to identify emerging conflicts (for example product/provider concentrations, switching/churn, complaint themes, vulnerability outcomes and referrals/introducers). Material conflicts, </w:t>
      </w:r>
      <w:r w:rsidRPr="00B27ED5">
        <w:rPr>
          <w:rFonts w:ascii="Arial" w:hAnsi="Arial" w:cs="Arial"/>
          <w:lang w:val="en-GB"/>
        </w:rPr>
        <w:lastRenderedPageBreak/>
        <w:t>trends and outcomes are reported to senior management and to the Board/Partners at least annually. Independent assurance (internal or external) may be used to test the effectiveness of conflicts controls, proportionate to the Firm’s risk profile.</w:t>
      </w:r>
    </w:p>
    <w:p w14:paraId="59AABC5C" w14:textId="77777777" w:rsidR="00B27ED5" w:rsidRPr="00B27ED5" w:rsidRDefault="00B27ED5" w:rsidP="00B27ED5">
      <w:pPr>
        <w:pStyle w:val="Heading2"/>
        <w:rPr>
          <w:rFonts w:cs="Arial"/>
          <w:color w:val="05016D"/>
          <w:kern w:val="2"/>
          <w:sz w:val="26"/>
          <w:szCs w:val="26"/>
          <w:lang w:eastAsia="en-GB"/>
          <w14:ligatures w14:val="standardContextual"/>
        </w:rPr>
      </w:pPr>
      <w:r w:rsidRPr="00B27ED5">
        <w:rPr>
          <w:rFonts w:cs="Arial"/>
        </w:rPr>
        <w:t>12. Breaches and escalation</w:t>
      </w:r>
    </w:p>
    <w:p w14:paraId="0608F2B6" w14:textId="206D9F8F"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 xml:space="preserve">Any suspected breach of this Policy must be reported immediately to </w:t>
      </w:r>
      <w:r w:rsidRPr="00E2177B">
        <w:rPr>
          <w:rFonts w:ascii="Arial" w:hAnsi="Arial" w:cs="Arial"/>
          <w:color w:val="EE0000"/>
          <w:lang w:val="en-GB"/>
        </w:rPr>
        <w:t>Compliance / Conflicts Owner</w:t>
      </w:r>
      <w:r w:rsidRPr="00B27ED5">
        <w:rPr>
          <w:rFonts w:ascii="Arial" w:hAnsi="Arial" w:cs="Arial"/>
          <w:lang w:val="en-GB"/>
        </w:rPr>
        <w:t>. The Firm assesses whether client harm has occurred (or is likely) and takes prompt remedial action, which may include disclosure, cancellation/undoing of an action where possible, and/or redress where required. Breaches may result in disciplinary action and may need to be reported under regulatory notification requirements (where applicable). Staff may also raise concerns via the Whistleblowing process.</w:t>
      </w:r>
    </w:p>
    <w:p w14:paraId="2053E911" w14:textId="77777777" w:rsidR="00B27ED5" w:rsidRPr="00B27ED5" w:rsidRDefault="00B27ED5" w:rsidP="00B27ED5">
      <w:pPr>
        <w:pStyle w:val="Heading2"/>
        <w:rPr>
          <w:rFonts w:cs="Arial"/>
          <w:color w:val="05016D"/>
          <w:kern w:val="2"/>
          <w:sz w:val="26"/>
          <w:szCs w:val="26"/>
          <w:lang w:eastAsia="en-GB"/>
          <w14:ligatures w14:val="standardContextual"/>
        </w:rPr>
      </w:pPr>
      <w:r w:rsidRPr="00B27ED5">
        <w:rPr>
          <w:rFonts w:cs="Arial"/>
        </w:rPr>
        <w:t>13. Review and maintenance</w:t>
      </w:r>
    </w:p>
    <w:p w14:paraId="4E20E673" w14:textId="77777777" w:rsidR="00B27ED5" w:rsidRPr="00B27ED5" w:rsidRDefault="00B27ED5" w:rsidP="00B27ED5">
      <w:pPr>
        <w:pStyle w:val="10MainText"/>
        <w:rPr>
          <w:rFonts w:ascii="Arial" w:hAnsi="Arial" w:cs="Arial"/>
          <w:color w:val="404040"/>
          <w:kern w:val="2"/>
          <w:lang w:val="en-GB"/>
          <w14:ligatures w14:val="standardContextual"/>
        </w:rPr>
      </w:pPr>
      <w:r w:rsidRPr="00B27ED5">
        <w:rPr>
          <w:rFonts w:ascii="Arial" w:hAnsi="Arial" w:cs="Arial"/>
          <w:lang w:val="en-GB"/>
        </w:rPr>
        <w:t>This Policy is reviewed at least annually and whenever there is a material change in the Firm’s business model, ownership/close links, product set, distribution strategy, or relevant regulation. Actions arising from review are tracked to completion and evidenced.</w:t>
      </w:r>
    </w:p>
    <w:bookmarkEnd w:id="6"/>
    <w:p w14:paraId="4B66C7DE" w14:textId="77777777" w:rsidR="00C92130" w:rsidRPr="00B27ED5" w:rsidRDefault="00C92130" w:rsidP="00D05AE1">
      <w:pPr>
        <w:rPr>
          <w:rFonts w:cs="Arial"/>
          <w:sz w:val="24"/>
          <w:szCs w:val="24"/>
        </w:rPr>
      </w:pPr>
    </w:p>
    <w:p w14:paraId="22559562" w14:textId="77777777" w:rsidR="00C92130" w:rsidRPr="00B27ED5" w:rsidRDefault="00C92130" w:rsidP="00D05AE1">
      <w:pPr>
        <w:rPr>
          <w:rFonts w:cs="Arial"/>
          <w:sz w:val="24"/>
          <w:szCs w:val="24"/>
        </w:rPr>
      </w:pPr>
    </w:p>
    <w:sectPr w:rsidR="00C92130" w:rsidRPr="00B27ED5" w:rsidSect="001F1277">
      <w:headerReference w:type="default" r:id="rId10"/>
      <w:footerReference w:type="even" r:id="rId11"/>
      <w:footerReference w:type="default" r:id="rId12"/>
      <w:headerReference w:type="first" r:id="rId13"/>
      <w:footerReference w:type="first" r:id="rId14"/>
      <w:pgSz w:w="11906" w:h="16838"/>
      <w:pgMar w:top="1426" w:right="1440" w:bottom="1772"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323C" w14:textId="77777777" w:rsidR="00F96540" w:rsidRPr="00B27ED5" w:rsidRDefault="00F96540" w:rsidP="00704D00">
      <w:pPr>
        <w:spacing w:after="0" w:line="240" w:lineRule="auto"/>
      </w:pPr>
      <w:r w:rsidRPr="00B27ED5">
        <w:separator/>
      </w:r>
    </w:p>
    <w:p w14:paraId="59440874" w14:textId="77777777" w:rsidR="00F96540" w:rsidRPr="00B27ED5" w:rsidRDefault="00F96540"/>
    <w:p w14:paraId="2205301F" w14:textId="77777777" w:rsidR="00F96540" w:rsidRPr="00B27ED5" w:rsidRDefault="00F96540" w:rsidP="00966DDD"/>
  </w:endnote>
  <w:endnote w:type="continuationSeparator" w:id="0">
    <w:p w14:paraId="5F421E3C" w14:textId="77777777" w:rsidR="00F96540" w:rsidRPr="00B27ED5" w:rsidRDefault="00F96540" w:rsidP="00704D00">
      <w:pPr>
        <w:spacing w:after="0" w:line="240" w:lineRule="auto"/>
      </w:pPr>
      <w:r w:rsidRPr="00B27ED5">
        <w:continuationSeparator/>
      </w:r>
    </w:p>
    <w:p w14:paraId="068EC85B" w14:textId="77777777" w:rsidR="00F96540" w:rsidRPr="00B27ED5" w:rsidRDefault="00F96540"/>
    <w:p w14:paraId="2EA8F565" w14:textId="77777777" w:rsidR="00F96540" w:rsidRPr="00B27ED5" w:rsidRDefault="00F96540" w:rsidP="00966DDD"/>
  </w:endnote>
  <w:endnote w:type="continuationNotice" w:id="1">
    <w:p w14:paraId="441814C8" w14:textId="77777777" w:rsidR="00F96540" w:rsidRPr="00B27ED5" w:rsidRDefault="00F96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Light">
    <w:altName w:val="Rockwell Light"/>
    <w:charset w:val="00"/>
    <w:family w:val="roman"/>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9175150"/>
      <w:docPartObj>
        <w:docPartGallery w:val="Page Numbers (Bottom of Page)"/>
        <w:docPartUnique/>
      </w:docPartObj>
    </w:sdtPr>
    <w:sdtEndPr>
      <w:rPr>
        <w:rStyle w:val="PageNumber"/>
      </w:rPr>
    </w:sdtEndPr>
    <w:sdtContent>
      <w:p w14:paraId="6CB79D23" w14:textId="77777777" w:rsidR="00191A1D" w:rsidRPr="00B27ED5" w:rsidRDefault="00191A1D" w:rsidP="000D21F0">
        <w:pPr>
          <w:pStyle w:val="Footer"/>
          <w:framePr w:wrap="none" w:vAnchor="text" w:hAnchor="margin" w:xAlign="right" w:y="1"/>
          <w:rPr>
            <w:rStyle w:val="PageNumber"/>
          </w:rPr>
        </w:pPr>
        <w:r w:rsidRPr="00B27ED5">
          <w:rPr>
            <w:rStyle w:val="PageNumber"/>
          </w:rPr>
          <w:fldChar w:fldCharType="begin"/>
        </w:r>
        <w:r w:rsidRPr="00B27ED5">
          <w:rPr>
            <w:rStyle w:val="PageNumber"/>
          </w:rPr>
          <w:instrText xml:space="preserve"> PAGE </w:instrText>
        </w:r>
        <w:r w:rsidRPr="00B27ED5">
          <w:rPr>
            <w:rStyle w:val="PageNumber"/>
          </w:rPr>
          <w:fldChar w:fldCharType="separate"/>
        </w:r>
        <w:r w:rsidRPr="00B27ED5">
          <w:rPr>
            <w:rStyle w:val="PageNumber"/>
          </w:rPr>
          <w:t>4</w:t>
        </w:r>
        <w:r w:rsidRPr="00B27ED5">
          <w:rPr>
            <w:rStyle w:val="PageNumber"/>
          </w:rPr>
          <w:fldChar w:fldCharType="end"/>
        </w:r>
      </w:p>
    </w:sdtContent>
  </w:sdt>
  <w:p w14:paraId="5B144824" w14:textId="77777777" w:rsidR="0049320B" w:rsidRPr="00B27ED5" w:rsidRDefault="0049320B" w:rsidP="00191A1D">
    <w:pPr>
      <w:pStyle w:val="Footer"/>
      <w:ind w:right="360"/>
    </w:pPr>
  </w:p>
  <w:p w14:paraId="342073CE" w14:textId="77777777" w:rsidR="00AE3A98" w:rsidRPr="00B27ED5" w:rsidRDefault="00AE3A98"/>
  <w:p w14:paraId="5C0780CC" w14:textId="77777777" w:rsidR="00AE3A98" w:rsidRPr="00B27ED5" w:rsidRDefault="00AE3A98" w:rsidP="00966D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B911" w14:textId="77777777" w:rsidR="00191A1D" w:rsidRPr="00B27ED5" w:rsidRDefault="00191A1D" w:rsidP="00191A1D">
    <w:pPr>
      <w:pStyle w:val="Footer"/>
      <w:framePr w:wrap="none" w:vAnchor="text" w:hAnchor="page" w:x="7426" w:y="227"/>
      <w:rPr>
        <w:rStyle w:val="PageNumber"/>
      </w:rPr>
    </w:pPr>
  </w:p>
  <w:p w14:paraId="07219506" w14:textId="3AECC301" w:rsidR="00AE3A98" w:rsidRPr="00B27ED5" w:rsidRDefault="001D51F5" w:rsidP="00966DDD">
    <w:r w:rsidRPr="00B27ED5">
      <w:rPr>
        <w:noProof/>
      </w:rPr>
      <w:drawing>
        <wp:anchor distT="0" distB="0" distL="114300" distR="114300" simplePos="0" relativeHeight="251662336" behindDoc="1" locked="0" layoutInCell="1" allowOverlap="1" wp14:anchorId="7FA216E2" wp14:editId="3C156142">
          <wp:simplePos x="0" y="0"/>
          <wp:positionH relativeFrom="column">
            <wp:posOffset>-252730</wp:posOffset>
          </wp:positionH>
          <wp:positionV relativeFrom="page">
            <wp:posOffset>9848264</wp:posOffset>
          </wp:positionV>
          <wp:extent cx="1051200" cy="417600"/>
          <wp:effectExtent l="0" t="0" r="0" b="0"/>
          <wp:wrapNone/>
          <wp:docPr id="170222747" name="Graphic 17022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1200" cy="417600"/>
                  </a:xfrm>
                  <a:prstGeom prst="rect">
                    <a:avLst/>
                  </a:prstGeom>
                </pic:spPr>
              </pic:pic>
            </a:graphicData>
          </a:graphic>
          <wp14:sizeRelH relativeFrom="margin">
            <wp14:pctWidth>0</wp14:pctWidth>
          </wp14:sizeRelH>
          <wp14:sizeRelV relativeFrom="margin">
            <wp14:pctHeight>0</wp14:pctHeight>
          </wp14:sizeRelV>
        </wp:anchor>
      </w:drawing>
    </w:r>
    <w:r w:rsidR="000C0FB3" w:rsidRPr="00B27ED5">
      <w:rPr>
        <w:noProof/>
      </w:rPr>
      <mc:AlternateContent>
        <mc:Choice Requires="wps">
          <w:drawing>
            <wp:anchor distT="0" distB="0" distL="114300" distR="114300" simplePos="0" relativeHeight="251661312" behindDoc="0" locked="0" layoutInCell="1" allowOverlap="1" wp14:anchorId="390D7FAC" wp14:editId="62EB084C">
              <wp:simplePos x="0" y="0"/>
              <wp:positionH relativeFrom="column">
                <wp:posOffset>2885937</wp:posOffset>
              </wp:positionH>
              <wp:positionV relativeFrom="paragraph">
                <wp:posOffset>-673735</wp:posOffset>
              </wp:positionV>
              <wp:extent cx="3260035" cy="636104"/>
              <wp:effectExtent l="0" t="0" r="4445" b="0"/>
              <wp:wrapNone/>
              <wp:docPr id="1" name="Text Box 1"/>
              <wp:cNvGraphicFramePr/>
              <a:graphic xmlns:a="http://schemas.openxmlformats.org/drawingml/2006/main">
                <a:graphicData uri="http://schemas.microsoft.com/office/word/2010/wordprocessingShape">
                  <wps:wsp>
                    <wps:cNvSpPr txBox="1"/>
                    <wps:spPr>
                      <a:xfrm>
                        <a:off x="0" y="0"/>
                        <a:ext cx="3260035" cy="636104"/>
                      </a:xfrm>
                      <a:prstGeom prst="rect">
                        <a:avLst/>
                      </a:prstGeom>
                      <a:solidFill>
                        <a:schemeClr val="lt1"/>
                      </a:solidFill>
                      <a:ln w="6350">
                        <a:noFill/>
                      </a:ln>
                    </wps:spPr>
                    <wps:txbx>
                      <w:txbxContent>
                        <w:tbl>
                          <w:tblPr>
                            <w:tblStyle w:val="TableGrid"/>
                            <w:tblOverlap w:val="never"/>
                            <w:tblW w:w="499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4"/>
                            <w:gridCol w:w="632"/>
                          </w:tblGrid>
                          <w:tr w:rsidR="000C0FB3" w:rsidRPr="00B27ED5" w14:paraId="78A3346A" w14:textId="77777777" w:rsidTr="001D51F5">
                            <w:trPr>
                              <w:trHeight w:val="310"/>
                            </w:trPr>
                            <w:tc>
                              <w:tcPr>
                                <w:tcW w:w="4364" w:type="dxa"/>
                                <w:tcBorders>
                                  <w:right w:val="single" w:sz="12" w:space="0" w:color="46DCDC"/>
                                </w:tcBorders>
                                <w:tcMar>
                                  <w:top w:w="113" w:type="dxa"/>
                                  <w:left w:w="227" w:type="dxa"/>
                                  <w:bottom w:w="113" w:type="dxa"/>
                                  <w:right w:w="227" w:type="dxa"/>
                                </w:tcMar>
                                <w:vAlign w:val="center"/>
                              </w:tcPr>
                              <w:p w14:paraId="7EC403F9" w14:textId="77777777" w:rsidR="00E3696C" w:rsidRPr="00B27ED5" w:rsidRDefault="00F96540" w:rsidP="00A56FCB">
                                <w:pPr>
                                  <w:pStyle w:val="Footer-title"/>
                                </w:pPr>
                                <w:sdt>
                                  <w:sdtPr>
                                    <w:rPr>
                                      <w:color w:val="46DCDC" w:themeColor="accent1"/>
                                      <w:sz w:val="16"/>
                                      <w:szCs w:val="16"/>
                                    </w:rPr>
                                    <w:alias w:val="Company"/>
                                    <w:id w:val="29775059"/>
                                    <w:placeholder>
                                      <w:docPart w:val="3130413232744A059B2C5EF8DA75FD67"/>
                                    </w:placeholder>
                                    <w:dataBinding w:prefixMappings="xmlns:ns0='http://schemas.openxmlformats.org/officeDocument/2006/extended-properties'" w:xpath="/ns0:Properties[1]/ns0:Company[1]" w:storeItemID="{6668398D-A668-4E3E-A5EB-62B293D839F1}"/>
                                    <w:text/>
                                  </w:sdtPr>
                                  <w:sdtEndPr/>
                                  <w:sdtContent>
                                    <w:r w:rsidR="00E26190" w:rsidRPr="00B27ED5">
                                      <w:rPr>
                                        <w:color w:val="46DCDC" w:themeColor="accent1"/>
                                        <w:sz w:val="16"/>
                                        <w:szCs w:val="16"/>
                                      </w:rPr>
                                      <w:t>Thistle Initiatives Limited</w:t>
                                    </w:r>
                                  </w:sdtContent>
                                </w:sdt>
                                <w:r w:rsidR="000C0FB3" w:rsidRPr="00B27ED5">
                                  <w:t xml:space="preserve"> </w:t>
                                </w:r>
                              </w:p>
                              <w:p w14:paraId="01067D50" w14:textId="12C181D0" w:rsidR="000C0FB3" w:rsidRPr="00B27ED5" w:rsidRDefault="00B27ED5" w:rsidP="00A56FCB">
                                <w:pPr>
                                  <w:pStyle w:val="Footer-title"/>
                                </w:pPr>
                                <w:r>
                                  <w:t>Conflicts of Interest Policy</w:t>
                                </w:r>
                                <w:r w:rsidR="000C0FB3" w:rsidRPr="00B27ED5">
                                  <w:br/>
                                </w:r>
                                <w:sdt>
                                  <w:sdtPr>
                                    <w:rPr>
                                      <w:color w:val="46DCDC" w:themeColor="accent1"/>
                                      <w:sz w:val="16"/>
                                      <w:szCs w:val="16"/>
                                    </w:rPr>
                                    <w:alias w:val="Subtitle"/>
                                    <w:id w:val="-1263299286"/>
                                    <w:showingPlcHdr/>
                                    <w:dataBinding w:prefixMappings="xmlns:ns0='http://schemas.openxmlformats.org/package/2006/metadata/core-properties' xmlns:ns1='http://purl.org/dc/elements/1.1/'" w:xpath="/ns0:coreProperties[1]/ns1:subject[1]" w:storeItemID="{6C3C8BC8-F283-45AE-878A-BAB7291924A1}"/>
                                    <w:text/>
                                  </w:sdtPr>
                                  <w:sdtEndPr/>
                                  <w:sdtContent>
                                    <w:r w:rsidR="009258F5" w:rsidRPr="00B27ED5">
                                      <w:rPr>
                                        <w:color w:val="46DCDC" w:themeColor="accent1"/>
                                        <w:sz w:val="16"/>
                                        <w:szCs w:val="16"/>
                                      </w:rPr>
                                      <w:t xml:space="preserve">     </w:t>
                                    </w:r>
                                  </w:sdtContent>
                                </w:sdt>
                              </w:p>
                            </w:tc>
                            <w:tc>
                              <w:tcPr>
                                <w:tcW w:w="632" w:type="dxa"/>
                                <w:tcBorders>
                                  <w:top w:val="nil"/>
                                  <w:left w:val="single" w:sz="12" w:space="0" w:color="46DCDC"/>
                                  <w:bottom w:val="nil"/>
                                </w:tcBorders>
                                <w:tcMar>
                                  <w:top w:w="113" w:type="dxa"/>
                                  <w:left w:w="227" w:type="dxa"/>
                                  <w:bottom w:w="113" w:type="dxa"/>
                                  <w:right w:w="227" w:type="dxa"/>
                                </w:tcMar>
                                <w:vAlign w:val="center"/>
                              </w:tcPr>
                              <w:sdt>
                                <w:sdtPr>
                                  <w:rPr>
                                    <w:rStyle w:val="PageNumber"/>
                                  </w:rPr>
                                  <w:id w:val="-528871274"/>
                                  <w:docPartObj>
                                    <w:docPartGallery w:val="Page Numbers (Bottom of Page)"/>
                                    <w:docPartUnique/>
                                  </w:docPartObj>
                                </w:sdtPr>
                                <w:sdtEndPr>
                                  <w:rPr>
                                    <w:rStyle w:val="PageNumber"/>
                                  </w:rPr>
                                </w:sdtEndPr>
                                <w:sdtContent>
                                  <w:p w14:paraId="710219C3" w14:textId="77777777" w:rsidR="000C0FB3" w:rsidRPr="00B27ED5" w:rsidRDefault="000C0FB3" w:rsidP="000C0FB3">
                                    <w:pPr>
                                      <w:pStyle w:val="Footer"/>
                                      <w:suppressOverlap/>
                                      <w:rPr>
                                        <w:rFonts w:eastAsiaTheme="minorEastAsia"/>
                                        <w:b/>
                                      </w:rPr>
                                    </w:pPr>
                                    <w:r w:rsidRPr="00B27ED5">
                                      <w:rPr>
                                        <w:rStyle w:val="PageNumber"/>
                                        <w:rFonts w:cs="Arial"/>
                                        <w:b/>
                                        <w:bCs/>
                                      </w:rPr>
                                      <w:fldChar w:fldCharType="begin"/>
                                    </w:r>
                                    <w:r w:rsidRPr="00B27ED5">
                                      <w:rPr>
                                        <w:rStyle w:val="PageNumber"/>
                                        <w:rFonts w:cs="Arial"/>
                                        <w:b/>
                                        <w:bCs/>
                                      </w:rPr>
                                      <w:instrText xml:space="preserve"> PAGE </w:instrText>
                                    </w:r>
                                    <w:r w:rsidRPr="00B27ED5">
                                      <w:rPr>
                                        <w:rStyle w:val="PageNumber"/>
                                        <w:rFonts w:cs="Arial"/>
                                        <w:b/>
                                        <w:bCs/>
                                      </w:rPr>
                                      <w:fldChar w:fldCharType="separate"/>
                                    </w:r>
                                    <w:r w:rsidRPr="00B27ED5">
                                      <w:rPr>
                                        <w:rStyle w:val="PageNumber"/>
                                        <w:rFonts w:cs="Arial"/>
                                        <w:b/>
                                        <w:bCs/>
                                      </w:rPr>
                                      <w:t>2</w:t>
                                    </w:r>
                                    <w:r w:rsidRPr="00B27ED5">
                                      <w:rPr>
                                        <w:rStyle w:val="PageNumber"/>
                                        <w:rFonts w:cs="Arial"/>
                                        <w:b/>
                                        <w:bCs/>
                                      </w:rPr>
                                      <w:fldChar w:fldCharType="end"/>
                                    </w:r>
                                  </w:p>
                                </w:sdtContent>
                              </w:sdt>
                            </w:tc>
                          </w:tr>
                        </w:tbl>
                        <w:p w14:paraId="281EC583" w14:textId="77777777" w:rsidR="000C0FB3" w:rsidRPr="00B27ED5" w:rsidRDefault="000C0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0D7FAC" id="_x0000_t202" coordsize="21600,21600" o:spt="202" path="m,l,21600r21600,l21600,xe">
              <v:stroke joinstyle="miter"/>
              <v:path gradientshapeok="t" o:connecttype="rect"/>
            </v:shapetype>
            <v:shape id="Text Box 1" o:spid="_x0000_s1026" type="#_x0000_t202" style="position:absolute;margin-left:227.25pt;margin-top:-53.05pt;width:256.7pt;height:50.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" fillcolor="white [3201]" stroked="f" strokeweight=".5pt">
              <v:textbox>
                <w:txbxContent>
                  <w:tbl>
                    <w:tblPr>
                      <w:tblStyle w:val="TableGrid"/>
                      <w:tblOverlap w:val="never"/>
                      <w:tblW w:w="499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4"/>
                      <w:gridCol w:w="632"/>
                    </w:tblGrid>
                    <w:tr w:rsidR="000C0FB3" w:rsidRPr="00B27ED5" w14:paraId="78A3346A" w14:textId="77777777" w:rsidTr="001D51F5">
                      <w:trPr>
                        <w:trHeight w:val="310"/>
                      </w:trPr>
                      <w:tc>
                        <w:tcPr>
                          <w:tcW w:w="4364" w:type="dxa"/>
                          <w:tcBorders>
                            <w:right w:val="single" w:sz="12" w:space="0" w:color="46DCDC"/>
                          </w:tcBorders>
                          <w:tcMar>
                            <w:top w:w="113" w:type="dxa"/>
                            <w:left w:w="227" w:type="dxa"/>
                            <w:bottom w:w="113" w:type="dxa"/>
                            <w:right w:w="227" w:type="dxa"/>
                          </w:tcMar>
                          <w:vAlign w:val="center"/>
                        </w:tcPr>
                        <w:p w14:paraId="7EC403F9" w14:textId="77777777" w:rsidR="00E3696C" w:rsidRPr="00B27ED5" w:rsidRDefault="00F96540" w:rsidP="00A56FCB">
                          <w:pPr>
                            <w:pStyle w:val="Footer-title"/>
                          </w:pPr>
                          <w:sdt>
                            <w:sdtPr>
                              <w:rPr>
                                <w:color w:val="46DCDC" w:themeColor="accent1"/>
                                <w:sz w:val="16"/>
                                <w:szCs w:val="16"/>
                              </w:rPr>
                              <w:alias w:val="Company"/>
                              <w:id w:val="29775059"/>
                              <w:placeholder>
                                <w:docPart w:val="3130413232744A059B2C5EF8DA75FD67"/>
                              </w:placeholder>
                              <w:dataBinding w:prefixMappings="xmlns:ns0='http://schemas.openxmlformats.org/officeDocument/2006/extended-properties'" w:xpath="/ns0:Properties[1]/ns0:Company[1]" w:storeItemID="{6668398D-A668-4E3E-A5EB-62B293D839F1}"/>
                              <w:text/>
                            </w:sdtPr>
                            <w:sdtEndPr/>
                            <w:sdtContent>
                              <w:r w:rsidR="00E26190" w:rsidRPr="00B27ED5">
                                <w:rPr>
                                  <w:color w:val="46DCDC" w:themeColor="accent1"/>
                                  <w:sz w:val="16"/>
                                  <w:szCs w:val="16"/>
                                </w:rPr>
                                <w:t>Thistle Initiatives Limited</w:t>
                              </w:r>
                            </w:sdtContent>
                          </w:sdt>
                          <w:r w:rsidR="000C0FB3" w:rsidRPr="00B27ED5">
                            <w:t xml:space="preserve"> </w:t>
                          </w:r>
                        </w:p>
                        <w:p w14:paraId="01067D50" w14:textId="12C181D0" w:rsidR="000C0FB3" w:rsidRPr="00B27ED5" w:rsidRDefault="00B27ED5" w:rsidP="00A56FCB">
                          <w:pPr>
                            <w:pStyle w:val="Footer-title"/>
                          </w:pPr>
                          <w:r>
                            <w:t>Conflicts of Interest Policy</w:t>
                          </w:r>
                          <w:r w:rsidR="000C0FB3" w:rsidRPr="00B27ED5">
                            <w:br/>
                          </w:r>
                          <w:sdt>
                            <w:sdtPr>
                              <w:rPr>
                                <w:color w:val="46DCDC" w:themeColor="accent1"/>
                                <w:sz w:val="16"/>
                                <w:szCs w:val="16"/>
                              </w:rPr>
                              <w:alias w:val="Subtitle"/>
                              <w:id w:val="-1263299286"/>
                              <w:showingPlcHdr/>
                              <w:dataBinding w:prefixMappings="xmlns:ns0='http://schemas.openxmlformats.org/package/2006/metadata/core-properties' xmlns:ns1='http://purl.org/dc/elements/1.1/'" w:xpath="/ns0:coreProperties[1]/ns1:subject[1]" w:storeItemID="{6C3C8BC8-F283-45AE-878A-BAB7291924A1}"/>
                              <w:text/>
                            </w:sdtPr>
                            <w:sdtEndPr/>
                            <w:sdtContent>
                              <w:r w:rsidR="009258F5" w:rsidRPr="00B27ED5">
                                <w:rPr>
                                  <w:color w:val="46DCDC" w:themeColor="accent1"/>
                                  <w:sz w:val="16"/>
                                  <w:szCs w:val="16"/>
                                </w:rPr>
                                <w:t xml:space="preserve">     </w:t>
                              </w:r>
                            </w:sdtContent>
                          </w:sdt>
                        </w:p>
                      </w:tc>
                      <w:tc>
                        <w:tcPr>
                          <w:tcW w:w="632" w:type="dxa"/>
                          <w:tcBorders>
                            <w:top w:val="nil"/>
                            <w:left w:val="single" w:sz="12" w:space="0" w:color="46DCDC"/>
                            <w:bottom w:val="nil"/>
                          </w:tcBorders>
                          <w:tcMar>
                            <w:top w:w="113" w:type="dxa"/>
                            <w:left w:w="227" w:type="dxa"/>
                            <w:bottom w:w="113" w:type="dxa"/>
                            <w:right w:w="227" w:type="dxa"/>
                          </w:tcMar>
                          <w:vAlign w:val="center"/>
                        </w:tcPr>
                        <w:sdt>
                          <w:sdtPr>
                            <w:rPr>
                              <w:rStyle w:val="PageNumber"/>
                            </w:rPr>
                            <w:id w:val="-528871274"/>
                            <w:docPartObj>
                              <w:docPartGallery w:val="Page Numbers (Bottom of Page)"/>
                              <w:docPartUnique/>
                            </w:docPartObj>
                          </w:sdtPr>
                          <w:sdtEndPr>
                            <w:rPr>
                              <w:rStyle w:val="PageNumber"/>
                            </w:rPr>
                          </w:sdtEndPr>
                          <w:sdtContent>
                            <w:p w14:paraId="710219C3" w14:textId="77777777" w:rsidR="000C0FB3" w:rsidRPr="00B27ED5" w:rsidRDefault="000C0FB3" w:rsidP="000C0FB3">
                              <w:pPr>
                                <w:pStyle w:val="Footer"/>
                                <w:suppressOverlap/>
                                <w:rPr>
                                  <w:rFonts w:eastAsiaTheme="minorEastAsia"/>
                                  <w:b/>
                                </w:rPr>
                              </w:pPr>
                              <w:r w:rsidRPr="00B27ED5">
                                <w:rPr>
                                  <w:rStyle w:val="PageNumber"/>
                                  <w:rFonts w:cs="Arial"/>
                                  <w:b/>
                                  <w:bCs/>
                                </w:rPr>
                                <w:fldChar w:fldCharType="begin"/>
                              </w:r>
                              <w:r w:rsidRPr="00B27ED5">
                                <w:rPr>
                                  <w:rStyle w:val="PageNumber"/>
                                  <w:rFonts w:cs="Arial"/>
                                  <w:b/>
                                  <w:bCs/>
                                </w:rPr>
                                <w:instrText xml:space="preserve"> PAGE </w:instrText>
                              </w:r>
                              <w:r w:rsidRPr="00B27ED5">
                                <w:rPr>
                                  <w:rStyle w:val="PageNumber"/>
                                  <w:rFonts w:cs="Arial"/>
                                  <w:b/>
                                  <w:bCs/>
                                </w:rPr>
                                <w:fldChar w:fldCharType="separate"/>
                              </w:r>
                              <w:r w:rsidRPr="00B27ED5">
                                <w:rPr>
                                  <w:rStyle w:val="PageNumber"/>
                                  <w:rFonts w:cs="Arial"/>
                                  <w:b/>
                                  <w:bCs/>
                                </w:rPr>
                                <w:t>2</w:t>
                              </w:r>
                              <w:r w:rsidRPr="00B27ED5">
                                <w:rPr>
                                  <w:rStyle w:val="PageNumber"/>
                                  <w:rFonts w:cs="Arial"/>
                                  <w:b/>
                                  <w:bCs/>
                                </w:rPr>
                                <w:fldChar w:fldCharType="end"/>
                              </w:r>
                            </w:p>
                          </w:sdtContent>
                        </w:sdt>
                      </w:tc>
                    </w:tr>
                  </w:tbl>
                  <w:p w14:paraId="281EC583" w14:textId="77777777" w:rsidR="000C0FB3" w:rsidRPr="00B27ED5" w:rsidRDefault="000C0FB3"/>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2B72" w14:textId="77777777" w:rsidR="0049320B" w:rsidRPr="00B27ED5" w:rsidRDefault="0049320B" w:rsidP="00E37D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8A4C" w14:textId="77777777" w:rsidR="00F96540" w:rsidRPr="00B27ED5" w:rsidRDefault="00F96540" w:rsidP="00704D00">
      <w:pPr>
        <w:spacing w:after="0" w:line="240" w:lineRule="auto"/>
      </w:pPr>
      <w:r w:rsidRPr="00B27ED5">
        <w:separator/>
      </w:r>
    </w:p>
    <w:p w14:paraId="311C442D" w14:textId="77777777" w:rsidR="00F96540" w:rsidRPr="00B27ED5" w:rsidRDefault="00F96540"/>
    <w:p w14:paraId="24703F87" w14:textId="77777777" w:rsidR="00F96540" w:rsidRPr="00B27ED5" w:rsidRDefault="00F96540" w:rsidP="00966DDD"/>
  </w:footnote>
  <w:footnote w:type="continuationSeparator" w:id="0">
    <w:p w14:paraId="5593E70A" w14:textId="77777777" w:rsidR="00F96540" w:rsidRPr="00B27ED5" w:rsidRDefault="00F96540" w:rsidP="00704D00">
      <w:pPr>
        <w:spacing w:after="0" w:line="240" w:lineRule="auto"/>
      </w:pPr>
      <w:r w:rsidRPr="00B27ED5">
        <w:continuationSeparator/>
      </w:r>
    </w:p>
    <w:p w14:paraId="26134646" w14:textId="77777777" w:rsidR="00F96540" w:rsidRPr="00B27ED5" w:rsidRDefault="00F96540"/>
    <w:p w14:paraId="4C7BAFFD" w14:textId="77777777" w:rsidR="00F96540" w:rsidRPr="00B27ED5" w:rsidRDefault="00F96540" w:rsidP="00966DDD"/>
  </w:footnote>
  <w:footnote w:type="continuationNotice" w:id="1">
    <w:p w14:paraId="7503E819" w14:textId="77777777" w:rsidR="00F96540" w:rsidRPr="00B27ED5" w:rsidRDefault="00F965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BAAD" w14:textId="77777777" w:rsidR="00704D00" w:rsidRPr="00B27ED5" w:rsidRDefault="00704D00" w:rsidP="00704D00">
    <w:pPr>
      <w:ind w:left="-1"/>
      <w:rPr>
        <w:rFonts w:ascii="Times New Roman"/>
      </w:rPr>
    </w:pPr>
  </w:p>
  <w:p w14:paraId="1F6B3180" w14:textId="77777777" w:rsidR="00AE3A98" w:rsidRPr="00B27ED5" w:rsidRDefault="00AE3A98"/>
  <w:p w14:paraId="6E56CD3F" w14:textId="77777777" w:rsidR="00AE3A98" w:rsidRPr="00B27ED5" w:rsidRDefault="00AE3A98" w:rsidP="00966D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1FC4" w14:textId="77777777" w:rsidR="005E512B" w:rsidRPr="00B27ED5" w:rsidRDefault="00503164">
    <w:pPr>
      <w:pStyle w:val="Header"/>
    </w:pPr>
    <w:r w:rsidRPr="00B27ED5">
      <w:rPr>
        <w:rFonts w:ascii="Times New Roman"/>
        <w:noProof/>
      </w:rPr>
      <w:drawing>
        <wp:anchor distT="0" distB="0" distL="114300" distR="114300" simplePos="0" relativeHeight="251659264" behindDoc="1" locked="0" layoutInCell="1" allowOverlap="1" wp14:anchorId="35F84770" wp14:editId="10D97266">
          <wp:simplePos x="0" y="0"/>
          <wp:positionH relativeFrom="page">
            <wp:posOffset>0</wp:posOffset>
          </wp:positionH>
          <wp:positionV relativeFrom="page">
            <wp:posOffset>0</wp:posOffset>
          </wp:positionV>
          <wp:extent cx="7556398" cy="10690779"/>
          <wp:effectExtent l="0" t="0" r="635" b="3175"/>
          <wp:wrapNone/>
          <wp:docPr id="654330259" name="Graphic 654330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6398" cy="106907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8871007" o:spid="_x0000_i1025" type="#_x0000_t75" style="width:36.9pt;height:57.25pt;visibility:visible;mso-wrap-style:square" o:bullet="t">
        <v:imagedata r:id="rId1" o:title=""/>
      </v:shape>
    </w:pict>
  </w:numPicBullet>
  <w:numPicBullet w:numPicBulletId="1">
    <w:pict>
      <v:shape id="Picture 1437573363" o:spid="_x0000_i1026" type="#_x0000_t75" style="width:36.9pt;height:55.4pt;visibility:visible;mso-wrap-style:square" o:bullet="t">
        <v:imagedata r:id="rId2" o:title=""/>
      </v:shape>
    </w:pict>
  </w:numPicBullet>
  <w:numPicBullet w:numPicBulletId="2">
    <w:pict>
      <v:shape id="Picture 1117468351" o:spid="_x0000_i1027" type="#_x0000_t75" style="width:36.9pt;height:55.4pt;visibility:visible;mso-wrap-style:square" o:bullet="t">
        <v:imagedata r:id="rId3" o:title=""/>
      </v:shape>
    </w:pict>
  </w:numPicBullet>
  <w:abstractNum w:abstractNumId="0" w15:restartNumberingAfterBreak="0">
    <w:nsid w:val="011A5E94"/>
    <w:multiLevelType w:val="multilevel"/>
    <w:tmpl w:val="545EEA66"/>
    <w:styleLink w:val="CurrentList5"/>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0A34EC"/>
    <w:multiLevelType w:val="multilevel"/>
    <w:tmpl w:val="C3425526"/>
    <w:styleLink w:val="CurrentList10"/>
    <w:lvl w:ilvl="0">
      <w:start w:val="1"/>
      <w:numFmt w:val="bullet"/>
      <w:lvlText w:val=""/>
      <w:lvlPicBulletId w:val="2"/>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3311D"/>
    <w:multiLevelType w:val="multilevel"/>
    <w:tmpl w:val="36329EF2"/>
    <w:styleLink w:val="CurrentList7"/>
    <w:lvl w:ilvl="0">
      <w:start w:val="1"/>
      <w:numFmt w:val="bullet"/>
      <w:lvlText w:val="ð"/>
      <w:lvlJc w:val="left"/>
      <w:pPr>
        <w:ind w:left="720" w:hanging="360"/>
      </w:pPr>
      <w:rPr>
        <w:rFonts w:ascii="Wingdings" w:hAnsi="Wingdings" w:hint="default"/>
        <w:color w:val="B77000" w:themeColor="accent5" w:themeShade="BF"/>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759BC"/>
    <w:multiLevelType w:val="multilevel"/>
    <w:tmpl w:val="93B059FE"/>
    <w:lvl w:ilvl="0">
      <w:start w:val="1"/>
      <w:numFmt w:val="decimal"/>
      <w:lvlText w:val="%1"/>
      <w:lvlJc w:val="left"/>
      <w:pPr>
        <w:ind w:left="432" w:hanging="432"/>
      </w:pPr>
      <w:rPr>
        <w:rFonts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Roman"/>
      <w:pStyle w:val="AppendixHeading"/>
      <w:lvlText w:val="Appendix %4"/>
      <w:lvlJc w:val="left"/>
      <w:pPr>
        <w:ind w:left="1701" w:hanging="1701"/>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58630FA"/>
    <w:multiLevelType w:val="multilevel"/>
    <w:tmpl w:val="51161A76"/>
    <w:styleLink w:val="CurrentList6"/>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7F2025"/>
    <w:multiLevelType w:val="multilevel"/>
    <w:tmpl w:val="063EC330"/>
    <w:lvl w:ilvl="0">
      <w:start w:val="1"/>
      <w:numFmt w:val="decimal"/>
      <w:pStyle w:val="Thistle-Head1-10"/>
      <w:suff w:val="space"/>
      <w:lvlText w:val="%1."/>
      <w:lvlJc w:val="left"/>
      <w:pPr>
        <w:ind w:left="0" w:firstLine="0"/>
      </w:pPr>
      <w:rPr>
        <w:rFonts w:ascii="Arial" w:hAnsi="Arial" w:hint="default"/>
        <w:b/>
        <w:i w:val="0"/>
        <w:color w:val="2E2755"/>
        <w:u w:val="none"/>
      </w:rPr>
    </w:lvl>
    <w:lvl w:ilvl="1">
      <w:start w:val="1"/>
      <w:numFmt w:val="decimal"/>
      <w:pStyle w:val="Thistle-Head2-11"/>
      <w:lvlText w:val="%1.%2."/>
      <w:lvlJc w:val="left"/>
      <w:pPr>
        <w:ind w:left="567" w:hanging="207"/>
      </w:pPr>
      <w:rPr>
        <w:rFonts w:hint="default"/>
        <w:b/>
        <w:i w:val="0"/>
      </w:rPr>
    </w:lvl>
    <w:lvl w:ilvl="2">
      <w:start w:val="1"/>
      <w:numFmt w:val="decimal"/>
      <w:pStyle w:val="Thistle-Head3111"/>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2829AB"/>
    <w:multiLevelType w:val="hybridMultilevel"/>
    <w:tmpl w:val="C3425526"/>
    <w:lvl w:ilvl="0" w:tplc="A9E437DC">
      <w:start w:val="1"/>
      <w:numFmt w:val="bullet"/>
      <w:pStyle w:val="ThistleLevel1Bullet"/>
      <w:lvlText w:val=""/>
      <w:lvlPicBulletId w:val="2"/>
      <w:lvlJc w:val="left"/>
      <w:pPr>
        <w:ind w:left="720" w:hanging="360"/>
      </w:pPr>
      <w:rPr>
        <w:rFonts w:ascii="Symbol" w:hAnsi="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B2B14"/>
    <w:multiLevelType w:val="multilevel"/>
    <w:tmpl w:val="D88A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B7CE0"/>
    <w:multiLevelType w:val="multilevel"/>
    <w:tmpl w:val="A86A8C0A"/>
    <w:styleLink w:val="CurrentList3"/>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250D69"/>
    <w:multiLevelType w:val="multilevel"/>
    <w:tmpl w:val="E840A470"/>
    <w:styleLink w:val="CurrentList2"/>
    <w:lvl w:ilvl="0">
      <w:start w:val="1"/>
      <w:numFmt w:val="decimal"/>
      <w:lvlText w:val="%1."/>
      <w:lvlJc w:val="left"/>
      <w:pPr>
        <w:ind w:left="113" w:hanging="113"/>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5F40D3"/>
    <w:multiLevelType w:val="multilevel"/>
    <w:tmpl w:val="15D853B4"/>
    <w:styleLink w:val="CurrentList4"/>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4B3AB2"/>
    <w:multiLevelType w:val="multilevel"/>
    <w:tmpl w:val="819CD8E6"/>
    <w:styleLink w:val="CurrentList1"/>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475FA9"/>
    <w:multiLevelType w:val="multilevel"/>
    <w:tmpl w:val="C1FEA68A"/>
    <w:styleLink w:val="CurrentList11"/>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EA22A2"/>
    <w:multiLevelType w:val="multilevel"/>
    <w:tmpl w:val="C236278A"/>
    <w:styleLink w:val="CurrentList8"/>
    <w:lvl w:ilvl="0">
      <w:start w:val="1"/>
      <w:numFmt w:val="bullet"/>
      <w:lvlText w:val=""/>
      <w:lvlPicBulletId w:val="0"/>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1C2796"/>
    <w:multiLevelType w:val="hybridMultilevel"/>
    <w:tmpl w:val="A080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AB0D47"/>
    <w:multiLevelType w:val="hybridMultilevel"/>
    <w:tmpl w:val="63DE9600"/>
    <w:lvl w:ilvl="0" w:tplc="5164DDE6">
      <w:start w:val="1"/>
      <w:numFmt w:val="bullet"/>
      <w:pStyle w:val="List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4E60B0"/>
    <w:multiLevelType w:val="multilevel"/>
    <w:tmpl w:val="236E81F2"/>
    <w:styleLink w:val="CurrentList9"/>
    <w:lvl w:ilvl="0">
      <w:start w:val="1"/>
      <w:numFmt w:val="bullet"/>
      <w:lvlText w:val=""/>
      <w:lvlPicBulletId w:val="1"/>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904CFD"/>
    <w:multiLevelType w:val="hybridMultilevel"/>
    <w:tmpl w:val="ADC6217E"/>
    <w:lvl w:ilvl="0" w:tplc="CE505268">
      <w:start w:val="1"/>
      <w:numFmt w:val="decimal"/>
      <w:pStyle w:val="ListNumber"/>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9808580">
    <w:abstractNumId w:val="5"/>
  </w:num>
  <w:num w:numId="2" w16cid:durableId="809594803">
    <w:abstractNumId w:val="6"/>
  </w:num>
  <w:num w:numId="3" w16cid:durableId="2055765942">
    <w:abstractNumId w:val="11"/>
  </w:num>
  <w:num w:numId="4" w16cid:durableId="667095462">
    <w:abstractNumId w:val="9"/>
  </w:num>
  <w:num w:numId="5" w16cid:durableId="1947299725">
    <w:abstractNumId w:val="8"/>
  </w:num>
  <w:num w:numId="6" w16cid:durableId="516240076">
    <w:abstractNumId w:val="10"/>
  </w:num>
  <w:num w:numId="7" w16cid:durableId="238097996">
    <w:abstractNumId w:val="0"/>
  </w:num>
  <w:num w:numId="8" w16cid:durableId="718359301">
    <w:abstractNumId w:val="4"/>
  </w:num>
  <w:num w:numId="9" w16cid:durableId="1503818638">
    <w:abstractNumId w:val="2"/>
  </w:num>
  <w:num w:numId="10" w16cid:durableId="1821001607">
    <w:abstractNumId w:val="13"/>
  </w:num>
  <w:num w:numId="11" w16cid:durableId="2094543503">
    <w:abstractNumId w:val="16"/>
  </w:num>
  <w:num w:numId="12" w16cid:durableId="2053311764">
    <w:abstractNumId w:val="1"/>
  </w:num>
  <w:num w:numId="13" w16cid:durableId="387071821">
    <w:abstractNumId w:val="12"/>
  </w:num>
  <w:num w:numId="14" w16cid:durableId="1450664252">
    <w:abstractNumId w:val="3"/>
  </w:num>
  <w:num w:numId="15" w16cid:durableId="2111584465">
    <w:abstractNumId w:val="15"/>
  </w:num>
  <w:num w:numId="16" w16cid:durableId="1441758366">
    <w:abstractNumId w:val="17"/>
  </w:num>
  <w:num w:numId="17" w16cid:durableId="1451169451">
    <w:abstractNumId w:val="7"/>
  </w:num>
  <w:num w:numId="18" w16cid:durableId="76693039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TUzNDYxNjAwNTFV0lEKTi0uzszPAykwrwUAQ1/vYiwAAAA="/>
  </w:docVars>
  <w:rsids>
    <w:rsidRoot w:val="00E415B5"/>
    <w:rsid w:val="0000014F"/>
    <w:rsid w:val="0000024A"/>
    <w:rsid w:val="00000506"/>
    <w:rsid w:val="00005F8C"/>
    <w:rsid w:val="00007C6C"/>
    <w:rsid w:val="00010FC0"/>
    <w:rsid w:val="00011EA7"/>
    <w:rsid w:val="000129FF"/>
    <w:rsid w:val="000156C0"/>
    <w:rsid w:val="00015A6E"/>
    <w:rsid w:val="0001701F"/>
    <w:rsid w:val="0002011E"/>
    <w:rsid w:val="0002383F"/>
    <w:rsid w:val="00026A1E"/>
    <w:rsid w:val="000301C4"/>
    <w:rsid w:val="0003218F"/>
    <w:rsid w:val="000331A0"/>
    <w:rsid w:val="0003722D"/>
    <w:rsid w:val="00041469"/>
    <w:rsid w:val="00042EEB"/>
    <w:rsid w:val="00043F0F"/>
    <w:rsid w:val="00043F4D"/>
    <w:rsid w:val="00044E61"/>
    <w:rsid w:val="000462E4"/>
    <w:rsid w:val="00050471"/>
    <w:rsid w:val="000509E7"/>
    <w:rsid w:val="00052739"/>
    <w:rsid w:val="000535A1"/>
    <w:rsid w:val="000551A8"/>
    <w:rsid w:val="00060192"/>
    <w:rsid w:val="000634F5"/>
    <w:rsid w:val="0006488D"/>
    <w:rsid w:val="00064A4B"/>
    <w:rsid w:val="00064CBD"/>
    <w:rsid w:val="000734B9"/>
    <w:rsid w:val="00075ED3"/>
    <w:rsid w:val="00082D4B"/>
    <w:rsid w:val="0008489F"/>
    <w:rsid w:val="00084DE1"/>
    <w:rsid w:val="0008718E"/>
    <w:rsid w:val="00087714"/>
    <w:rsid w:val="00087D6A"/>
    <w:rsid w:val="00092477"/>
    <w:rsid w:val="00096FA7"/>
    <w:rsid w:val="000A360F"/>
    <w:rsid w:val="000A6060"/>
    <w:rsid w:val="000A69C5"/>
    <w:rsid w:val="000A729B"/>
    <w:rsid w:val="000B28A8"/>
    <w:rsid w:val="000B29D6"/>
    <w:rsid w:val="000B4D15"/>
    <w:rsid w:val="000B6B90"/>
    <w:rsid w:val="000B6D62"/>
    <w:rsid w:val="000B7191"/>
    <w:rsid w:val="000B727E"/>
    <w:rsid w:val="000C0B82"/>
    <w:rsid w:val="000C0FB3"/>
    <w:rsid w:val="000C3B82"/>
    <w:rsid w:val="000C4CA0"/>
    <w:rsid w:val="000C5E5B"/>
    <w:rsid w:val="000C7575"/>
    <w:rsid w:val="000D02F0"/>
    <w:rsid w:val="000D2A6C"/>
    <w:rsid w:val="000D2F7A"/>
    <w:rsid w:val="000D41E3"/>
    <w:rsid w:val="000D44DB"/>
    <w:rsid w:val="000D6FEE"/>
    <w:rsid w:val="000E024A"/>
    <w:rsid w:val="000E3D4C"/>
    <w:rsid w:val="000E4A3E"/>
    <w:rsid w:val="000F21EC"/>
    <w:rsid w:val="000F6E4B"/>
    <w:rsid w:val="00101722"/>
    <w:rsid w:val="0010351E"/>
    <w:rsid w:val="00103C43"/>
    <w:rsid w:val="00106690"/>
    <w:rsid w:val="00107632"/>
    <w:rsid w:val="00107E9A"/>
    <w:rsid w:val="00110673"/>
    <w:rsid w:val="00112122"/>
    <w:rsid w:val="001142A2"/>
    <w:rsid w:val="00120498"/>
    <w:rsid w:val="00121DEB"/>
    <w:rsid w:val="00126148"/>
    <w:rsid w:val="00135366"/>
    <w:rsid w:val="00137941"/>
    <w:rsid w:val="00141046"/>
    <w:rsid w:val="00142FC7"/>
    <w:rsid w:val="00145464"/>
    <w:rsid w:val="00145DF8"/>
    <w:rsid w:val="00146EB5"/>
    <w:rsid w:val="001526F3"/>
    <w:rsid w:val="00152A17"/>
    <w:rsid w:val="001607B8"/>
    <w:rsid w:val="00166396"/>
    <w:rsid w:val="0016771F"/>
    <w:rsid w:val="001724AF"/>
    <w:rsid w:val="00174A0A"/>
    <w:rsid w:val="001810C0"/>
    <w:rsid w:val="001814E7"/>
    <w:rsid w:val="001850F1"/>
    <w:rsid w:val="00185B1F"/>
    <w:rsid w:val="00186BEC"/>
    <w:rsid w:val="00187009"/>
    <w:rsid w:val="00187542"/>
    <w:rsid w:val="00191A1D"/>
    <w:rsid w:val="001922D3"/>
    <w:rsid w:val="00193E37"/>
    <w:rsid w:val="00193F2A"/>
    <w:rsid w:val="001965A7"/>
    <w:rsid w:val="001A03E9"/>
    <w:rsid w:val="001A0644"/>
    <w:rsid w:val="001A0979"/>
    <w:rsid w:val="001A17C4"/>
    <w:rsid w:val="001A2C88"/>
    <w:rsid w:val="001B04EE"/>
    <w:rsid w:val="001B20D0"/>
    <w:rsid w:val="001B2136"/>
    <w:rsid w:val="001B6719"/>
    <w:rsid w:val="001B7E3F"/>
    <w:rsid w:val="001B7F6E"/>
    <w:rsid w:val="001C0E23"/>
    <w:rsid w:val="001C5FD7"/>
    <w:rsid w:val="001D0ECB"/>
    <w:rsid w:val="001D17FB"/>
    <w:rsid w:val="001D51F5"/>
    <w:rsid w:val="001D5D4A"/>
    <w:rsid w:val="001D67A5"/>
    <w:rsid w:val="001D7963"/>
    <w:rsid w:val="001E327C"/>
    <w:rsid w:val="001E6380"/>
    <w:rsid w:val="001E7A59"/>
    <w:rsid w:val="001F1277"/>
    <w:rsid w:val="001F484B"/>
    <w:rsid w:val="001F65AC"/>
    <w:rsid w:val="001F664B"/>
    <w:rsid w:val="0020002A"/>
    <w:rsid w:val="00201508"/>
    <w:rsid w:val="00202187"/>
    <w:rsid w:val="0020652E"/>
    <w:rsid w:val="00210ABE"/>
    <w:rsid w:val="002111D2"/>
    <w:rsid w:val="0021587A"/>
    <w:rsid w:val="00216C89"/>
    <w:rsid w:val="00221948"/>
    <w:rsid w:val="00226E73"/>
    <w:rsid w:val="0023169A"/>
    <w:rsid w:val="0023264B"/>
    <w:rsid w:val="00233A52"/>
    <w:rsid w:val="00235C56"/>
    <w:rsid w:val="002368F9"/>
    <w:rsid w:val="00241140"/>
    <w:rsid w:val="002426B0"/>
    <w:rsid w:val="002432C4"/>
    <w:rsid w:val="00245965"/>
    <w:rsid w:val="00246E19"/>
    <w:rsid w:val="00251E30"/>
    <w:rsid w:val="00254B67"/>
    <w:rsid w:val="00260A28"/>
    <w:rsid w:val="00261E50"/>
    <w:rsid w:val="002628B9"/>
    <w:rsid w:val="00265357"/>
    <w:rsid w:val="0026716A"/>
    <w:rsid w:val="00270C6A"/>
    <w:rsid w:val="00273AAC"/>
    <w:rsid w:val="002851F0"/>
    <w:rsid w:val="00292596"/>
    <w:rsid w:val="00292CE5"/>
    <w:rsid w:val="00295A86"/>
    <w:rsid w:val="00295F33"/>
    <w:rsid w:val="002971A6"/>
    <w:rsid w:val="002A2B37"/>
    <w:rsid w:val="002A5393"/>
    <w:rsid w:val="002A7317"/>
    <w:rsid w:val="002B0136"/>
    <w:rsid w:val="002B3598"/>
    <w:rsid w:val="002B41AF"/>
    <w:rsid w:val="002B43BE"/>
    <w:rsid w:val="002B45A2"/>
    <w:rsid w:val="002B55CB"/>
    <w:rsid w:val="002B5E59"/>
    <w:rsid w:val="002B6CC4"/>
    <w:rsid w:val="002C4DDF"/>
    <w:rsid w:val="002D13CB"/>
    <w:rsid w:val="002D3309"/>
    <w:rsid w:val="002D45CA"/>
    <w:rsid w:val="002D6B55"/>
    <w:rsid w:val="002D73FA"/>
    <w:rsid w:val="002D7FEE"/>
    <w:rsid w:val="002E47CF"/>
    <w:rsid w:val="002F0A1A"/>
    <w:rsid w:val="002F44AF"/>
    <w:rsid w:val="002F5394"/>
    <w:rsid w:val="002F6C21"/>
    <w:rsid w:val="002F760C"/>
    <w:rsid w:val="002F76C9"/>
    <w:rsid w:val="00300196"/>
    <w:rsid w:val="003005E8"/>
    <w:rsid w:val="003055F5"/>
    <w:rsid w:val="00306C6C"/>
    <w:rsid w:val="003102DD"/>
    <w:rsid w:val="00311202"/>
    <w:rsid w:val="00311731"/>
    <w:rsid w:val="00312C2D"/>
    <w:rsid w:val="003163E0"/>
    <w:rsid w:val="00317AB4"/>
    <w:rsid w:val="00320468"/>
    <w:rsid w:val="003214BF"/>
    <w:rsid w:val="00321E99"/>
    <w:rsid w:val="0032764D"/>
    <w:rsid w:val="00327681"/>
    <w:rsid w:val="00331192"/>
    <w:rsid w:val="00331779"/>
    <w:rsid w:val="0033434A"/>
    <w:rsid w:val="00336D44"/>
    <w:rsid w:val="00337BC6"/>
    <w:rsid w:val="0034135B"/>
    <w:rsid w:val="00343C12"/>
    <w:rsid w:val="00344F99"/>
    <w:rsid w:val="0035083E"/>
    <w:rsid w:val="003526C9"/>
    <w:rsid w:val="0035353E"/>
    <w:rsid w:val="003544B7"/>
    <w:rsid w:val="0035665F"/>
    <w:rsid w:val="003632CD"/>
    <w:rsid w:val="00365363"/>
    <w:rsid w:val="003667F6"/>
    <w:rsid w:val="003719F4"/>
    <w:rsid w:val="00372239"/>
    <w:rsid w:val="0037227F"/>
    <w:rsid w:val="00372C00"/>
    <w:rsid w:val="00373538"/>
    <w:rsid w:val="0037558D"/>
    <w:rsid w:val="00383547"/>
    <w:rsid w:val="00383AA3"/>
    <w:rsid w:val="00384E92"/>
    <w:rsid w:val="00387216"/>
    <w:rsid w:val="00395CFD"/>
    <w:rsid w:val="00396132"/>
    <w:rsid w:val="003A0184"/>
    <w:rsid w:val="003A10FA"/>
    <w:rsid w:val="003A1599"/>
    <w:rsid w:val="003A169C"/>
    <w:rsid w:val="003A2308"/>
    <w:rsid w:val="003A5639"/>
    <w:rsid w:val="003A5B17"/>
    <w:rsid w:val="003A76F0"/>
    <w:rsid w:val="003B7901"/>
    <w:rsid w:val="003C4D29"/>
    <w:rsid w:val="003C522A"/>
    <w:rsid w:val="003D0765"/>
    <w:rsid w:val="003D3F97"/>
    <w:rsid w:val="003D7626"/>
    <w:rsid w:val="003E23AD"/>
    <w:rsid w:val="003E2656"/>
    <w:rsid w:val="003E2E8D"/>
    <w:rsid w:val="003E2EBC"/>
    <w:rsid w:val="003E3639"/>
    <w:rsid w:val="003E6606"/>
    <w:rsid w:val="003E6FAB"/>
    <w:rsid w:val="003F1155"/>
    <w:rsid w:val="003F1767"/>
    <w:rsid w:val="003F5EA7"/>
    <w:rsid w:val="00400789"/>
    <w:rsid w:val="00406148"/>
    <w:rsid w:val="00410344"/>
    <w:rsid w:val="004118AC"/>
    <w:rsid w:val="0041273C"/>
    <w:rsid w:val="00412CF5"/>
    <w:rsid w:val="00413013"/>
    <w:rsid w:val="004142DC"/>
    <w:rsid w:val="00414C18"/>
    <w:rsid w:val="004221A0"/>
    <w:rsid w:val="00423414"/>
    <w:rsid w:val="00423773"/>
    <w:rsid w:val="00426103"/>
    <w:rsid w:val="00426629"/>
    <w:rsid w:val="00430F4A"/>
    <w:rsid w:val="004338F3"/>
    <w:rsid w:val="00437A93"/>
    <w:rsid w:val="00442376"/>
    <w:rsid w:val="00442531"/>
    <w:rsid w:val="00445D92"/>
    <w:rsid w:val="00450ADB"/>
    <w:rsid w:val="004520BD"/>
    <w:rsid w:val="004560DE"/>
    <w:rsid w:val="004617EB"/>
    <w:rsid w:val="00461A15"/>
    <w:rsid w:val="00462EDA"/>
    <w:rsid w:val="00463110"/>
    <w:rsid w:val="004639E3"/>
    <w:rsid w:val="00463EFF"/>
    <w:rsid w:val="004659F9"/>
    <w:rsid w:val="004739C0"/>
    <w:rsid w:val="00475474"/>
    <w:rsid w:val="00477311"/>
    <w:rsid w:val="004774DC"/>
    <w:rsid w:val="0048004C"/>
    <w:rsid w:val="00480BBA"/>
    <w:rsid w:val="0048221C"/>
    <w:rsid w:val="0048249E"/>
    <w:rsid w:val="0048567F"/>
    <w:rsid w:val="004879FF"/>
    <w:rsid w:val="00487C60"/>
    <w:rsid w:val="00491C06"/>
    <w:rsid w:val="00491FB5"/>
    <w:rsid w:val="0049246B"/>
    <w:rsid w:val="0049320B"/>
    <w:rsid w:val="0049516E"/>
    <w:rsid w:val="00495C8C"/>
    <w:rsid w:val="00496CDC"/>
    <w:rsid w:val="00497F04"/>
    <w:rsid w:val="004A192D"/>
    <w:rsid w:val="004A351B"/>
    <w:rsid w:val="004B08BB"/>
    <w:rsid w:val="004B115B"/>
    <w:rsid w:val="004B3956"/>
    <w:rsid w:val="004B5396"/>
    <w:rsid w:val="004B57C2"/>
    <w:rsid w:val="004B6917"/>
    <w:rsid w:val="004C5A48"/>
    <w:rsid w:val="004C5B16"/>
    <w:rsid w:val="004C695A"/>
    <w:rsid w:val="004D061E"/>
    <w:rsid w:val="004D1146"/>
    <w:rsid w:val="004D6194"/>
    <w:rsid w:val="004D76CA"/>
    <w:rsid w:val="004E2ECF"/>
    <w:rsid w:val="004F382D"/>
    <w:rsid w:val="004F771E"/>
    <w:rsid w:val="00503164"/>
    <w:rsid w:val="005041DB"/>
    <w:rsid w:val="0050424D"/>
    <w:rsid w:val="00506B73"/>
    <w:rsid w:val="0051200B"/>
    <w:rsid w:val="0051299F"/>
    <w:rsid w:val="00516F96"/>
    <w:rsid w:val="00525EFA"/>
    <w:rsid w:val="00526759"/>
    <w:rsid w:val="00527FBD"/>
    <w:rsid w:val="00534A77"/>
    <w:rsid w:val="00534BCD"/>
    <w:rsid w:val="005359D9"/>
    <w:rsid w:val="0053682F"/>
    <w:rsid w:val="00537BA7"/>
    <w:rsid w:val="005403AF"/>
    <w:rsid w:val="00540A70"/>
    <w:rsid w:val="00541950"/>
    <w:rsid w:val="005459F5"/>
    <w:rsid w:val="00546280"/>
    <w:rsid w:val="00547128"/>
    <w:rsid w:val="00551FF6"/>
    <w:rsid w:val="0055477C"/>
    <w:rsid w:val="00554B58"/>
    <w:rsid w:val="00555DA3"/>
    <w:rsid w:val="00556122"/>
    <w:rsid w:val="00557D5E"/>
    <w:rsid w:val="005639C9"/>
    <w:rsid w:val="00564016"/>
    <w:rsid w:val="00565999"/>
    <w:rsid w:val="00565D4A"/>
    <w:rsid w:val="00567317"/>
    <w:rsid w:val="005738EE"/>
    <w:rsid w:val="00574A65"/>
    <w:rsid w:val="00577B0D"/>
    <w:rsid w:val="00582548"/>
    <w:rsid w:val="00583569"/>
    <w:rsid w:val="005841F0"/>
    <w:rsid w:val="00586AFF"/>
    <w:rsid w:val="00591093"/>
    <w:rsid w:val="00591D1D"/>
    <w:rsid w:val="005943FD"/>
    <w:rsid w:val="00596148"/>
    <w:rsid w:val="00596AB9"/>
    <w:rsid w:val="005A0E0D"/>
    <w:rsid w:val="005A0F45"/>
    <w:rsid w:val="005A5E7B"/>
    <w:rsid w:val="005B50FB"/>
    <w:rsid w:val="005C3DF3"/>
    <w:rsid w:val="005C7002"/>
    <w:rsid w:val="005D017E"/>
    <w:rsid w:val="005D120C"/>
    <w:rsid w:val="005D1B48"/>
    <w:rsid w:val="005D32CC"/>
    <w:rsid w:val="005D34AA"/>
    <w:rsid w:val="005D5BA5"/>
    <w:rsid w:val="005E0558"/>
    <w:rsid w:val="005E2BD7"/>
    <w:rsid w:val="005E4468"/>
    <w:rsid w:val="005E512B"/>
    <w:rsid w:val="005F1C77"/>
    <w:rsid w:val="005F23B4"/>
    <w:rsid w:val="005F4186"/>
    <w:rsid w:val="005F5FF4"/>
    <w:rsid w:val="00603092"/>
    <w:rsid w:val="006034D3"/>
    <w:rsid w:val="00603D71"/>
    <w:rsid w:val="00605328"/>
    <w:rsid w:val="0061017D"/>
    <w:rsid w:val="0061046C"/>
    <w:rsid w:val="00610837"/>
    <w:rsid w:val="00610EA4"/>
    <w:rsid w:val="00613853"/>
    <w:rsid w:val="00613A84"/>
    <w:rsid w:val="00614BC8"/>
    <w:rsid w:val="006151A3"/>
    <w:rsid w:val="00615B22"/>
    <w:rsid w:val="00616422"/>
    <w:rsid w:val="00621387"/>
    <w:rsid w:val="00624AD7"/>
    <w:rsid w:val="00624E45"/>
    <w:rsid w:val="00625BEA"/>
    <w:rsid w:val="00626022"/>
    <w:rsid w:val="006315CF"/>
    <w:rsid w:val="00632E65"/>
    <w:rsid w:val="006343D5"/>
    <w:rsid w:val="00635922"/>
    <w:rsid w:val="006379D5"/>
    <w:rsid w:val="006406CE"/>
    <w:rsid w:val="00641EED"/>
    <w:rsid w:val="00643727"/>
    <w:rsid w:val="00644E97"/>
    <w:rsid w:val="00646A44"/>
    <w:rsid w:val="00647D77"/>
    <w:rsid w:val="00650FF7"/>
    <w:rsid w:val="00654996"/>
    <w:rsid w:val="006554DF"/>
    <w:rsid w:val="00661B6C"/>
    <w:rsid w:val="00661ECD"/>
    <w:rsid w:val="006626BE"/>
    <w:rsid w:val="00662C66"/>
    <w:rsid w:val="00664A90"/>
    <w:rsid w:val="00664C94"/>
    <w:rsid w:val="00664E03"/>
    <w:rsid w:val="006661C5"/>
    <w:rsid w:val="00666BA2"/>
    <w:rsid w:val="00673941"/>
    <w:rsid w:val="00674E99"/>
    <w:rsid w:val="0067529A"/>
    <w:rsid w:val="00676D36"/>
    <w:rsid w:val="00682E3D"/>
    <w:rsid w:val="00686339"/>
    <w:rsid w:val="00692E06"/>
    <w:rsid w:val="00695877"/>
    <w:rsid w:val="00695FA9"/>
    <w:rsid w:val="00696088"/>
    <w:rsid w:val="00697544"/>
    <w:rsid w:val="006A2A31"/>
    <w:rsid w:val="006A323D"/>
    <w:rsid w:val="006A45C9"/>
    <w:rsid w:val="006B0614"/>
    <w:rsid w:val="006B1C8F"/>
    <w:rsid w:val="006B5836"/>
    <w:rsid w:val="006B5931"/>
    <w:rsid w:val="006B5E23"/>
    <w:rsid w:val="006B7D6D"/>
    <w:rsid w:val="006C43BE"/>
    <w:rsid w:val="006C6CAE"/>
    <w:rsid w:val="006D0AD4"/>
    <w:rsid w:val="006D1EED"/>
    <w:rsid w:val="006D291D"/>
    <w:rsid w:val="006D3E9A"/>
    <w:rsid w:val="006D70EC"/>
    <w:rsid w:val="006E0427"/>
    <w:rsid w:val="006E0C82"/>
    <w:rsid w:val="006E13CD"/>
    <w:rsid w:val="006E22F6"/>
    <w:rsid w:val="006E23D4"/>
    <w:rsid w:val="006E328B"/>
    <w:rsid w:val="006E46A5"/>
    <w:rsid w:val="006E51CE"/>
    <w:rsid w:val="006E7C7E"/>
    <w:rsid w:val="006F0171"/>
    <w:rsid w:val="006F1692"/>
    <w:rsid w:val="006F4906"/>
    <w:rsid w:val="006F4A54"/>
    <w:rsid w:val="006F543C"/>
    <w:rsid w:val="006F6BFB"/>
    <w:rsid w:val="006F7BC3"/>
    <w:rsid w:val="00701F87"/>
    <w:rsid w:val="00703F67"/>
    <w:rsid w:val="00704A33"/>
    <w:rsid w:val="00704D00"/>
    <w:rsid w:val="00704F8C"/>
    <w:rsid w:val="0070699F"/>
    <w:rsid w:val="00706B3B"/>
    <w:rsid w:val="00707F16"/>
    <w:rsid w:val="00711EFB"/>
    <w:rsid w:val="0071703A"/>
    <w:rsid w:val="00717A38"/>
    <w:rsid w:val="007207B0"/>
    <w:rsid w:val="00720FCE"/>
    <w:rsid w:val="00721AA4"/>
    <w:rsid w:val="00721ACB"/>
    <w:rsid w:val="00721B47"/>
    <w:rsid w:val="00722D26"/>
    <w:rsid w:val="00725815"/>
    <w:rsid w:val="00730E04"/>
    <w:rsid w:val="00731982"/>
    <w:rsid w:val="00732178"/>
    <w:rsid w:val="00733B87"/>
    <w:rsid w:val="0073500E"/>
    <w:rsid w:val="007378FF"/>
    <w:rsid w:val="00741BEF"/>
    <w:rsid w:val="00742E9A"/>
    <w:rsid w:val="00745F6D"/>
    <w:rsid w:val="007463D8"/>
    <w:rsid w:val="0075245D"/>
    <w:rsid w:val="0075453C"/>
    <w:rsid w:val="007647A5"/>
    <w:rsid w:val="00767A4E"/>
    <w:rsid w:val="00772DB4"/>
    <w:rsid w:val="007741D7"/>
    <w:rsid w:val="00775394"/>
    <w:rsid w:val="00775879"/>
    <w:rsid w:val="00777303"/>
    <w:rsid w:val="00780698"/>
    <w:rsid w:val="00781183"/>
    <w:rsid w:val="00786067"/>
    <w:rsid w:val="00787EC1"/>
    <w:rsid w:val="00793E49"/>
    <w:rsid w:val="0079403B"/>
    <w:rsid w:val="00794478"/>
    <w:rsid w:val="00794E2C"/>
    <w:rsid w:val="00795B26"/>
    <w:rsid w:val="0079699B"/>
    <w:rsid w:val="007A2520"/>
    <w:rsid w:val="007A258B"/>
    <w:rsid w:val="007A4973"/>
    <w:rsid w:val="007A5CC5"/>
    <w:rsid w:val="007B3610"/>
    <w:rsid w:val="007B52F5"/>
    <w:rsid w:val="007C2146"/>
    <w:rsid w:val="007C5104"/>
    <w:rsid w:val="007C5902"/>
    <w:rsid w:val="007D0000"/>
    <w:rsid w:val="007D0555"/>
    <w:rsid w:val="007D0859"/>
    <w:rsid w:val="007D0B6C"/>
    <w:rsid w:val="007D156B"/>
    <w:rsid w:val="007D30A9"/>
    <w:rsid w:val="007D36C4"/>
    <w:rsid w:val="007D3F35"/>
    <w:rsid w:val="007D5B6A"/>
    <w:rsid w:val="007D7290"/>
    <w:rsid w:val="007E1E87"/>
    <w:rsid w:val="007E37E0"/>
    <w:rsid w:val="007E4B12"/>
    <w:rsid w:val="007E66BE"/>
    <w:rsid w:val="007F046D"/>
    <w:rsid w:val="007F12F6"/>
    <w:rsid w:val="007F3067"/>
    <w:rsid w:val="007F3243"/>
    <w:rsid w:val="007F7448"/>
    <w:rsid w:val="008006DA"/>
    <w:rsid w:val="00800DB6"/>
    <w:rsid w:val="00800E6C"/>
    <w:rsid w:val="008023D2"/>
    <w:rsid w:val="00802A49"/>
    <w:rsid w:val="00807083"/>
    <w:rsid w:val="00811CDC"/>
    <w:rsid w:val="00811E6B"/>
    <w:rsid w:val="00814625"/>
    <w:rsid w:val="00815567"/>
    <w:rsid w:val="0081778C"/>
    <w:rsid w:val="008212D8"/>
    <w:rsid w:val="008215C6"/>
    <w:rsid w:val="00821AA3"/>
    <w:rsid w:val="00824CAE"/>
    <w:rsid w:val="00826641"/>
    <w:rsid w:val="00826BAD"/>
    <w:rsid w:val="00827072"/>
    <w:rsid w:val="0082752A"/>
    <w:rsid w:val="00830771"/>
    <w:rsid w:val="00830F40"/>
    <w:rsid w:val="008344C6"/>
    <w:rsid w:val="00835FA2"/>
    <w:rsid w:val="00837BC7"/>
    <w:rsid w:val="00840CF5"/>
    <w:rsid w:val="0084339F"/>
    <w:rsid w:val="0084717D"/>
    <w:rsid w:val="008505DE"/>
    <w:rsid w:val="008546F3"/>
    <w:rsid w:val="00855715"/>
    <w:rsid w:val="00855906"/>
    <w:rsid w:val="00860D6C"/>
    <w:rsid w:val="00861116"/>
    <w:rsid w:val="00861E18"/>
    <w:rsid w:val="0086364B"/>
    <w:rsid w:val="008665F3"/>
    <w:rsid w:val="00867DF8"/>
    <w:rsid w:val="00870658"/>
    <w:rsid w:val="008708EA"/>
    <w:rsid w:val="00870D16"/>
    <w:rsid w:val="00873C3A"/>
    <w:rsid w:val="00874484"/>
    <w:rsid w:val="0087677A"/>
    <w:rsid w:val="00883B5D"/>
    <w:rsid w:val="00885D5A"/>
    <w:rsid w:val="00886BC1"/>
    <w:rsid w:val="00887611"/>
    <w:rsid w:val="008903A2"/>
    <w:rsid w:val="0089119D"/>
    <w:rsid w:val="00892ACC"/>
    <w:rsid w:val="00893B1E"/>
    <w:rsid w:val="008A2BC4"/>
    <w:rsid w:val="008A41A4"/>
    <w:rsid w:val="008A4CEE"/>
    <w:rsid w:val="008A51B6"/>
    <w:rsid w:val="008A5590"/>
    <w:rsid w:val="008A58FC"/>
    <w:rsid w:val="008A7450"/>
    <w:rsid w:val="008B2758"/>
    <w:rsid w:val="008B42B1"/>
    <w:rsid w:val="008C05F4"/>
    <w:rsid w:val="008C120A"/>
    <w:rsid w:val="008C235D"/>
    <w:rsid w:val="008C41C6"/>
    <w:rsid w:val="008D2684"/>
    <w:rsid w:val="008D4214"/>
    <w:rsid w:val="008D4C8A"/>
    <w:rsid w:val="008E0EC3"/>
    <w:rsid w:val="008E1186"/>
    <w:rsid w:val="008E32BE"/>
    <w:rsid w:val="008E3741"/>
    <w:rsid w:val="008E6725"/>
    <w:rsid w:val="008F058F"/>
    <w:rsid w:val="008F1A27"/>
    <w:rsid w:val="008F21AC"/>
    <w:rsid w:val="008F685D"/>
    <w:rsid w:val="008F6B0B"/>
    <w:rsid w:val="00900A84"/>
    <w:rsid w:val="00901384"/>
    <w:rsid w:val="009018C2"/>
    <w:rsid w:val="00905E53"/>
    <w:rsid w:val="00905FB1"/>
    <w:rsid w:val="00906A4C"/>
    <w:rsid w:val="00907C93"/>
    <w:rsid w:val="00911264"/>
    <w:rsid w:val="00913070"/>
    <w:rsid w:val="009135FD"/>
    <w:rsid w:val="00913849"/>
    <w:rsid w:val="009141D3"/>
    <w:rsid w:val="00922666"/>
    <w:rsid w:val="00922A80"/>
    <w:rsid w:val="009258F5"/>
    <w:rsid w:val="00925E53"/>
    <w:rsid w:val="00931739"/>
    <w:rsid w:val="0093201A"/>
    <w:rsid w:val="0093582B"/>
    <w:rsid w:val="009419D7"/>
    <w:rsid w:val="00943B28"/>
    <w:rsid w:val="0094653B"/>
    <w:rsid w:val="009539C9"/>
    <w:rsid w:val="009549C0"/>
    <w:rsid w:val="009604EC"/>
    <w:rsid w:val="00960EF3"/>
    <w:rsid w:val="009615EF"/>
    <w:rsid w:val="00961C88"/>
    <w:rsid w:val="009623AE"/>
    <w:rsid w:val="00963C71"/>
    <w:rsid w:val="00963F60"/>
    <w:rsid w:val="00965C74"/>
    <w:rsid w:val="00966801"/>
    <w:rsid w:val="00966DDD"/>
    <w:rsid w:val="00970E0B"/>
    <w:rsid w:val="00971270"/>
    <w:rsid w:val="00974F08"/>
    <w:rsid w:val="00975068"/>
    <w:rsid w:val="00976B34"/>
    <w:rsid w:val="00977EF9"/>
    <w:rsid w:val="00980D5C"/>
    <w:rsid w:val="00981D8F"/>
    <w:rsid w:val="00984CA0"/>
    <w:rsid w:val="00984D33"/>
    <w:rsid w:val="0098790F"/>
    <w:rsid w:val="009908EC"/>
    <w:rsid w:val="00991539"/>
    <w:rsid w:val="009928C3"/>
    <w:rsid w:val="00994176"/>
    <w:rsid w:val="0099486A"/>
    <w:rsid w:val="009950B7"/>
    <w:rsid w:val="009A1F2D"/>
    <w:rsid w:val="009A3BE5"/>
    <w:rsid w:val="009A44A7"/>
    <w:rsid w:val="009B265C"/>
    <w:rsid w:val="009B44AD"/>
    <w:rsid w:val="009C1568"/>
    <w:rsid w:val="009C2117"/>
    <w:rsid w:val="009C25B3"/>
    <w:rsid w:val="009C44CB"/>
    <w:rsid w:val="009C514E"/>
    <w:rsid w:val="009C5767"/>
    <w:rsid w:val="009C6950"/>
    <w:rsid w:val="009C79FE"/>
    <w:rsid w:val="009D0104"/>
    <w:rsid w:val="009D1454"/>
    <w:rsid w:val="009D2657"/>
    <w:rsid w:val="009D4389"/>
    <w:rsid w:val="009D4FBA"/>
    <w:rsid w:val="009D7492"/>
    <w:rsid w:val="009D7CE9"/>
    <w:rsid w:val="009E020B"/>
    <w:rsid w:val="009E022A"/>
    <w:rsid w:val="009E5051"/>
    <w:rsid w:val="009E676D"/>
    <w:rsid w:val="009F3087"/>
    <w:rsid w:val="009F6B36"/>
    <w:rsid w:val="00A06BAE"/>
    <w:rsid w:val="00A106B9"/>
    <w:rsid w:val="00A12439"/>
    <w:rsid w:val="00A1559C"/>
    <w:rsid w:val="00A1563B"/>
    <w:rsid w:val="00A1655F"/>
    <w:rsid w:val="00A25790"/>
    <w:rsid w:val="00A25BEE"/>
    <w:rsid w:val="00A26549"/>
    <w:rsid w:val="00A27173"/>
    <w:rsid w:val="00A2735C"/>
    <w:rsid w:val="00A277A4"/>
    <w:rsid w:val="00A31AD6"/>
    <w:rsid w:val="00A32D4A"/>
    <w:rsid w:val="00A350C5"/>
    <w:rsid w:val="00A350D9"/>
    <w:rsid w:val="00A3747A"/>
    <w:rsid w:val="00A379D9"/>
    <w:rsid w:val="00A419AD"/>
    <w:rsid w:val="00A503B0"/>
    <w:rsid w:val="00A51D16"/>
    <w:rsid w:val="00A524D7"/>
    <w:rsid w:val="00A528D1"/>
    <w:rsid w:val="00A53687"/>
    <w:rsid w:val="00A56996"/>
    <w:rsid w:val="00A56FCB"/>
    <w:rsid w:val="00A64B42"/>
    <w:rsid w:val="00A658F8"/>
    <w:rsid w:val="00A65F8E"/>
    <w:rsid w:val="00A7092E"/>
    <w:rsid w:val="00A7257A"/>
    <w:rsid w:val="00A7357F"/>
    <w:rsid w:val="00A73713"/>
    <w:rsid w:val="00A73AD2"/>
    <w:rsid w:val="00A7403A"/>
    <w:rsid w:val="00A7503C"/>
    <w:rsid w:val="00A7545E"/>
    <w:rsid w:val="00A75A40"/>
    <w:rsid w:val="00A75BFF"/>
    <w:rsid w:val="00A75E1D"/>
    <w:rsid w:val="00A8004F"/>
    <w:rsid w:val="00A817C5"/>
    <w:rsid w:val="00A81E27"/>
    <w:rsid w:val="00A82327"/>
    <w:rsid w:val="00A85954"/>
    <w:rsid w:val="00A85F85"/>
    <w:rsid w:val="00A86BEC"/>
    <w:rsid w:val="00A90402"/>
    <w:rsid w:val="00A92ED3"/>
    <w:rsid w:val="00A95A68"/>
    <w:rsid w:val="00A96F8F"/>
    <w:rsid w:val="00A97573"/>
    <w:rsid w:val="00A97613"/>
    <w:rsid w:val="00AA34CA"/>
    <w:rsid w:val="00AA3A7E"/>
    <w:rsid w:val="00AA732E"/>
    <w:rsid w:val="00AB17C6"/>
    <w:rsid w:val="00AB2B11"/>
    <w:rsid w:val="00AB609E"/>
    <w:rsid w:val="00AC335F"/>
    <w:rsid w:val="00AC464D"/>
    <w:rsid w:val="00AC5086"/>
    <w:rsid w:val="00AC7EDA"/>
    <w:rsid w:val="00AD2C85"/>
    <w:rsid w:val="00AD5D40"/>
    <w:rsid w:val="00AD724A"/>
    <w:rsid w:val="00AE2B3C"/>
    <w:rsid w:val="00AE3A98"/>
    <w:rsid w:val="00AE3B39"/>
    <w:rsid w:val="00AE593B"/>
    <w:rsid w:val="00AE7249"/>
    <w:rsid w:val="00AF03EF"/>
    <w:rsid w:val="00AF1461"/>
    <w:rsid w:val="00AF31C4"/>
    <w:rsid w:val="00AF56BE"/>
    <w:rsid w:val="00AF7E6B"/>
    <w:rsid w:val="00B00D74"/>
    <w:rsid w:val="00B06E7F"/>
    <w:rsid w:val="00B07A96"/>
    <w:rsid w:val="00B100D7"/>
    <w:rsid w:val="00B12CAE"/>
    <w:rsid w:val="00B17288"/>
    <w:rsid w:val="00B22943"/>
    <w:rsid w:val="00B2363B"/>
    <w:rsid w:val="00B23C09"/>
    <w:rsid w:val="00B273DD"/>
    <w:rsid w:val="00B27ED5"/>
    <w:rsid w:val="00B32C2E"/>
    <w:rsid w:val="00B344A6"/>
    <w:rsid w:val="00B34D2E"/>
    <w:rsid w:val="00B35ABF"/>
    <w:rsid w:val="00B363F4"/>
    <w:rsid w:val="00B37ED9"/>
    <w:rsid w:val="00B37F1F"/>
    <w:rsid w:val="00B41252"/>
    <w:rsid w:val="00B47177"/>
    <w:rsid w:val="00B4724B"/>
    <w:rsid w:val="00B47A1F"/>
    <w:rsid w:val="00B50680"/>
    <w:rsid w:val="00B50FBB"/>
    <w:rsid w:val="00B528A6"/>
    <w:rsid w:val="00B55081"/>
    <w:rsid w:val="00B568BB"/>
    <w:rsid w:val="00B6097C"/>
    <w:rsid w:val="00B622C2"/>
    <w:rsid w:val="00B64BE4"/>
    <w:rsid w:val="00B66205"/>
    <w:rsid w:val="00B675EA"/>
    <w:rsid w:val="00B72558"/>
    <w:rsid w:val="00B768ED"/>
    <w:rsid w:val="00B82CAA"/>
    <w:rsid w:val="00B86006"/>
    <w:rsid w:val="00B865C5"/>
    <w:rsid w:val="00B916DF"/>
    <w:rsid w:val="00B93018"/>
    <w:rsid w:val="00BA27BB"/>
    <w:rsid w:val="00BA59B2"/>
    <w:rsid w:val="00BA59C8"/>
    <w:rsid w:val="00BA6DD5"/>
    <w:rsid w:val="00BB01A4"/>
    <w:rsid w:val="00BB1182"/>
    <w:rsid w:val="00BB1F64"/>
    <w:rsid w:val="00BB4509"/>
    <w:rsid w:val="00BC1828"/>
    <w:rsid w:val="00BC1977"/>
    <w:rsid w:val="00BC3329"/>
    <w:rsid w:val="00BC6458"/>
    <w:rsid w:val="00BD15A5"/>
    <w:rsid w:val="00BD3EA5"/>
    <w:rsid w:val="00BD44CE"/>
    <w:rsid w:val="00BE02EC"/>
    <w:rsid w:val="00BE1486"/>
    <w:rsid w:val="00BE65F5"/>
    <w:rsid w:val="00BE6BD0"/>
    <w:rsid w:val="00BE733F"/>
    <w:rsid w:val="00BE7A62"/>
    <w:rsid w:val="00BF0B5B"/>
    <w:rsid w:val="00BF38F9"/>
    <w:rsid w:val="00BF451F"/>
    <w:rsid w:val="00BF4CE2"/>
    <w:rsid w:val="00BF7218"/>
    <w:rsid w:val="00BF7B20"/>
    <w:rsid w:val="00C035A6"/>
    <w:rsid w:val="00C03B2B"/>
    <w:rsid w:val="00C051AF"/>
    <w:rsid w:val="00C06CBA"/>
    <w:rsid w:val="00C116EE"/>
    <w:rsid w:val="00C14EBB"/>
    <w:rsid w:val="00C17133"/>
    <w:rsid w:val="00C176CF"/>
    <w:rsid w:val="00C17A84"/>
    <w:rsid w:val="00C17DA2"/>
    <w:rsid w:val="00C20BE1"/>
    <w:rsid w:val="00C21D71"/>
    <w:rsid w:val="00C23AC7"/>
    <w:rsid w:val="00C250DC"/>
    <w:rsid w:val="00C25554"/>
    <w:rsid w:val="00C27EED"/>
    <w:rsid w:val="00C30DE9"/>
    <w:rsid w:val="00C32EC8"/>
    <w:rsid w:val="00C34340"/>
    <w:rsid w:val="00C3445F"/>
    <w:rsid w:val="00C34F5E"/>
    <w:rsid w:val="00C366BA"/>
    <w:rsid w:val="00C36A0D"/>
    <w:rsid w:val="00C36E31"/>
    <w:rsid w:val="00C40C25"/>
    <w:rsid w:val="00C42953"/>
    <w:rsid w:val="00C54114"/>
    <w:rsid w:val="00C54627"/>
    <w:rsid w:val="00C54CF6"/>
    <w:rsid w:val="00C56941"/>
    <w:rsid w:val="00C5711E"/>
    <w:rsid w:val="00C606C7"/>
    <w:rsid w:val="00C63E17"/>
    <w:rsid w:val="00C63F0B"/>
    <w:rsid w:val="00C64C63"/>
    <w:rsid w:val="00C659D5"/>
    <w:rsid w:val="00C65A00"/>
    <w:rsid w:val="00C77767"/>
    <w:rsid w:val="00C823C5"/>
    <w:rsid w:val="00C82B9A"/>
    <w:rsid w:val="00C838D7"/>
    <w:rsid w:val="00C86E00"/>
    <w:rsid w:val="00C92130"/>
    <w:rsid w:val="00C966DD"/>
    <w:rsid w:val="00C97FE5"/>
    <w:rsid w:val="00CA2F49"/>
    <w:rsid w:val="00CA5E56"/>
    <w:rsid w:val="00CB107E"/>
    <w:rsid w:val="00CB1392"/>
    <w:rsid w:val="00CB2400"/>
    <w:rsid w:val="00CB2A5F"/>
    <w:rsid w:val="00CB60F3"/>
    <w:rsid w:val="00CC0787"/>
    <w:rsid w:val="00CC45C6"/>
    <w:rsid w:val="00CC4853"/>
    <w:rsid w:val="00CC7027"/>
    <w:rsid w:val="00CC7D16"/>
    <w:rsid w:val="00CD0072"/>
    <w:rsid w:val="00CE084D"/>
    <w:rsid w:val="00CE0E8C"/>
    <w:rsid w:val="00CE72D9"/>
    <w:rsid w:val="00CF47E1"/>
    <w:rsid w:val="00CF4E23"/>
    <w:rsid w:val="00CF54D8"/>
    <w:rsid w:val="00CF558E"/>
    <w:rsid w:val="00CF66F9"/>
    <w:rsid w:val="00CF69F4"/>
    <w:rsid w:val="00D00391"/>
    <w:rsid w:val="00D00B99"/>
    <w:rsid w:val="00D00C29"/>
    <w:rsid w:val="00D01850"/>
    <w:rsid w:val="00D0585A"/>
    <w:rsid w:val="00D05963"/>
    <w:rsid w:val="00D05AE1"/>
    <w:rsid w:val="00D077D1"/>
    <w:rsid w:val="00D103A8"/>
    <w:rsid w:val="00D135E1"/>
    <w:rsid w:val="00D14EEB"/>
    <w:rsid w:val="00D158D9"/>
    <w:rsid w:val="00D164E9"/>
    <w:rsid w:val="00D16A90"/>
    <w:rsid w:val="00D1743D"/>
    <w:rsid w:val="00D21F4E"/>
    <w:rsid w:val="00D23297"/>
    <w:rsid w:val="00D27EDC"/>
    <w:rsid w:val="00D3189B"/>
    <w:rsid w:val="00D33289"/>
    <w:rsid w:val="00D33613"/>
    <w:rsid w:val="00D33890"/>
    <w:rsid w:val="00D33B32"/>
    <w:rsid w:val="00D349B0"/>
    <w:rsid w:val="00D37EB5"/>
    <w:rsid w:val="00D401FC"/>
    <w:rsid w:val="00D41B2B"/>
    <w:rsid w:val="00D4534D"/>
    <w:rsid w:val="00D46A9A"/>
    <w:rsid w:val="00D4752D"/>
    <w:rsid w:val="00D47E16"/>
    <w:rsid w:val="00D47F11"/>
    <w:rsid w:val="00D51C64"/>
    <w:rsid w:val="00D52E0F"/>
    <w:rsid w:val="00D5345F"/>
    <w:rsid w:val="00D537F7"/>
    <w:rsid w:val="00D545EE"/>
    <w:rsid w:val="00D6473A"/>
    <w:rsid w:val="00D67770"/>
    <w:rsid w:val="00D71633"/>
    <w:rsid w:val="00D726B0"/>
    <w:rsid w:val="00D73A2B"/>
    <w:rsid w:val="00D75A5B"/>
    <w:rsid w:val="00D76884"/>
    <w:rsid w:val="00D7728D"/>
    <w:rsid w:val="00D80871"/>
    <w:rsid w:val="00D82A18"/>
    <w:rsid w:val="00D836F1"/>
    <w:rsid w:val="00D863E2"/>
    <w:rsid w:val="00D87CDE"/>
    <w:rsid w:val="00D90859"/>
    <w:rsid w:val="00D908F0"/>
    <w:rsid w:val="00D956B1"/>
    <w:rsid w:val="00D95AE4"/>
    <w:rsid w:val="00DA0279"/>
    <w:rsid w:val="00DA1F73"/>
    <w:rsid w:val="00DA4949"/>
    <w:rsid w:val="00DA4BBE"/>
    <w:rsid w:val="00DB12DA"/>
    <w:rsid w:val="00DB18F0"/>
    <w:rsid w:val="00DB3666"/>
    <w:rsid w:val="00DB41A1"/>
    <w:rsid w:val="00DC1A9B"/>
    <w:rsid w:val="00DC4340"/>
    <w:rsid w:val="00DC5592"/>
    <w:rsid w:val="00DD132E"/>
    <w:rsid w:val="00DD6583"/>
    <w:rsid w:val="00DD788E"/>
    <w:rsid w:val="00DE054C"/>
    <w:rsid w:val="00DE26C0"/>
    <w:rsid w:val="00DE427D"/>
    <w:rsid w:val="00DE4D59"/>
    <w:rsid w:val="00DF1933"/>
    <w:rsid w:val="00DF1BAD"/>
    <w:rsid w:val="00DF24B6"/>
    <w:rsid w:val="00DF25A9"/>
    <w:rsid w:val="00DF3280"/>
    <w:rsid w:val="00DF346A"/>
    <w:rsid w:val="00DF561B"/>
    <w:rsid w:val="00DF7DE7"/>
    <w:rsid w:val="00E0060E"/>
    <w:rsid w:val="00E0079D"/>
    <w:rsid w:val="00E05DE9"/>
    <w:rsid w:val="00E07CBC"/>
    <w:rsid w:val="00E13EDA"/>
    <w:rsid w:val="00E145FA"/>
    <w:rsid w:val="00E162FA"/>
    <w:rsid w:val="00E170B5"/>
    <w:rsid w:val="00E17AB4"/>
    <w:rsid w:val="00E2177B"/>
    <w:rsid w:val="00E227CD"/>
    <w:rsid w:val="00E22D62"/>
    <w:rsid w:val="00E26190"/>
    <w:rsid w:val="00E26A80"/>
    <w:rsid w:val="00E33C14"/>
    <w:rsid w:val="00E34015"/>
    <w:rsid w:val="00E343E8"/>
    <w:rsid w:val="00E349E6"/>
    <w:rsid w:val="00E3696C"/>
    <w:rsid w:val="00E37495"/>
    <w:rsid w:val="00E37D44"/>
    <w:rsid w:val="00E408B3"/>
    <w:rsid w:val="00E415B5"/>
    <w:rsid w:val="00E41FBB"/>
    <w:rsid w:val="00E41FFE"/>
    <w:rsid w:val="00E44F4F"/>
    <w:rsid w:val="00E45673"/>
    <w:rsid w:val="00E46940"/>
    <w:rsid w:val="00E479BC"/>
    <w:rsid w:val="00E51193"/>
    <w:rsid w:val="00E51B89"/>
    <w:rsid w:val="00E524D2"/>
    <w:rsid w:val="00E52C34"/>
    <w:rsid w:val="00E675B1"/>
    <w:rsid w:val="00E71322"/>
    <w:rsid w:val="00E72254"/>
    <w:rsid w:val="00E72D1B"/>
    <w:rsid w:val="00E73AC8"/>
    <w:rsid w:val="00E7612D"/>
    <w:rsid w:val="00E766EE"/>
    <w:rsid w:val="00E76E2D"/>
    <w:rsid w:val="00E80BDD"/>
    <w:rsid w:val="00E83EBF"/>
    <w:rsid w:val="00E8652A"/>
    <w:rsid w:val="00E93CDB"/>
    <w:rsid w:val="00E93FB1"/>
    <w:rsid w:val="00E94A8F"/>
    <w:rsid w:val="00E95219"/>
    <w:rsid w:val="00E9532B"/>
    <w:rsid w:val="00E95D37"/>
    <w:rsid w:val="00E97F27"/>
    <w:rsid w:val="00EA2F67"/>
    <w:rsid w:val="00EA550E"/>
    <w:rsid w:val="00EA78A2"/>
    <w:rsid w:val="00EB2370"/>
    <w:rsid w:val="00EB4144"/>
    <w:rsid w:val="00EB723B"/>
    <w:rsid w:val="00EC4ACC"/>
    <w:rsid w:val="00EC6107"/>
    <w:rsid w:val="00EC629E"/>
    <w:rsid w:val="00ED1692"/>
    <w:rsid w:val="00ED4297"/>
    <w:rsid w:val="00ED48EA"/>
    <w:rsid w:val="00EE24A8"/>
    <w:rsid w:val="00EE4797"/>
    <w:rsid w:val="00EE4881"/>
    <w:rsid w:val="00EE75F5"/>
    <w:rsid w:val="00EF0A8E"/>
    <w:rsid w:val="00EF4C93"/>
    <w:rsid w:val="00EF5591"/>
    <w:rsid w:val="00EF6E64"/>
    <w:rsid w:val="00F02F59"/>
    <w:rsid w:val="00F031DB"/>
    <w:rsid w:val="00F04C99"/>
    <w:rsid w:val="00F04DEA"/>
    <w:rsid w:val="00F10198"/>
    <w:rsid w:val="00F101BB"/>
    <w:rsid w:val="00F14998"/>
    <w:rsid w:val="00F14AD9"/>
    <w:rsid w:val="00F16642"/>
    <w:rsid w:val="00F20384"/>
    <w:rsid w:val="00F20FA2"/>
    <w:rsid w:val="00F23265"/>
    <w:rsid w:val="00F2406F"/>
    <w:rsid w:val="00F249D7"/>
    <w:rsid w:val="00F2637D"/>
    <w:rsid w:val="00F2750F"/>
    <w:rsid w:val="00F31E40"/>
    <w:rsid w:val="00F33F53"/>
    <w:rsid w:val="00F34131"/>
    <w:rsid w:val="00F37BF8"/>
    <w:rsid w:val="00F403E0"/>
    <w:rsid w:val="00F4087F"/>
    <w:rsid w:val="00F45531"/>
    <w:rsid w:val="00F46386"/>
    <w:rsid w:val="00F47237"/>
    <w:rsid w:val="00F510D1"/>
    <w:rsid w:val="00F51803"/>
    <w:rsid w:val="00F52996"/>
    <w:rsid w:val="00F55AD7"/>
    <w:rsid w:val="00F55C82"/>
    <w:rsid w:val="00F57102"/>
    <w:rsid w:val="00F617BD"/>
    <w:rsid w:val="00F625B2"/>
    <w:rsid w:val="00F64A90"/>
    <w:rsid w:val="00F672CF"/>
    <w:rsid w:val="00F7047F"/>
    <w:rsid w:val="00F719AB"/>
    <w:rsid w:val="00F72928"/>
    <w:rsid w:val="00F76655"/>
    <w:rsid w:val="00F8062D"/>
    <w:rsid w:val="00F81C3F"/>
    <w:rsid w:val="00F84146"/>
    <w:rsid w:val="00F84240"/>
    <w:rsid w:val="00F854C7"/>
    <w:rsid w:val="00F87D3D"/>
    <w:rsid w:val="00F91BC0"/>
    <w:rsid w:val="00F93052"/>
    <w:rsid w:val="00F94C3A"/>
    <w:rsid w:val="00F9560D"/>
    <w:rsid w:val="00F96540"/>
    <w:rsid w:val="00F96F78"/>
    <w:rsid w:val="00F975C5"/>
    <w:rsid w:val="00FA2551"/>
    <w:rsid w:val="00FA3B19"/>
    <w:rsid w:val="00FA41DE"/>
    <w:rsid w:val="00FA4BBC"/>
    <w:rsid w:val="00FB2455"/>
    <w:rsid w:val="00FB3689"/>
    <w:rsid w:val="00FB4FCF"/>
    <w:rsid w:val="00FB5811"/>
    <w:rsid w:val="00FC5999"/>
    <w:rsid w:val="00FE0361"/>
    <w:rsid w:val="00FE096B"/>
    <w:rsid w:val="00FE0B92"/>
    <w:rsid w:val="00FE1593"/>
    <w:rsid w:val="00FE1C70"/>
    <w:rsid w:val="00FE2940"/>
    <w:rsid w:val="00FE44AB"/>
    <w:rsid w:val="00FE52BC"/>
    <w:rsid w:val="00FE5E86"/>
    <w:rsid w:val="00FE6664"/>
    <w:rsid w:val="00FE6B42"/>
    <w:rsid w:val="00FF0E98"/>
    <w:rsid w:val="00FF1962"/>
    <w:rsid w:val="00FF2DF3"/>
    <w:rsid w:val="00FF694E"/>
    <w:rsid w:val="00FF7E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69DA9"/>
  <w15:chartTrackingRefBased/>
  <w15:docId w15:val="{F8B33ABB-1DC8-47D0-BA18-CA1C15F5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63"/>
    <w:pPr>
      <w:spacing w:line="312" w:lineRule="auto"/>
    </w:pPr>
    <w:rPr>
      <w:rFonts w:ascii="Arial" w:hAnsi="Arial"/>
      <w:sz w:val="20"/>
    </w:rPr>
  </w:style>
  <w:style w:type="paragraph" w:styleId="Heading1">
    <w:name w:val="heading 1"/>
    <w:basedOn w:val="Normal"/>
    <w:next w:val="Normal"/>
    <w:link w:val="Heading1Char"/>
    <w:autoRedefine/>
    <w:qFormat/>
    <w:rsid w:val="00A64B42"/>
    <w:pPr>
      <w:keepNext/>
      <w:keepLines/>
      <w:spacing w:before="240" w:after="0"/>
      <w:outlineLvl w:val="0"/>
    </w:pPr>
    <w:rPr>
      <w:rFonts w:eastAsiaTheme="majorEastAsia" w:cstheme="majorBidi"/>
      <w:b/>
      <w:color w:val="46DCDC" w:themeColor="accent1"/>
      <w:sz w:val="32"/>
      <w:szCs w:val="32"/>
    </w:rPr>
  </w:style>
  <w:style w:type="paragraph" w:styleId="Heading2">
    <w:name w:val="heading 2"/>
    <w:basedOn w:val="Normal"/>
    <w:next w:val="Normal"/>
    <w:link w:val="Heading2Char"/>
    <w:autoRedefine/>
    <w:unhideWhenUsed/>
    <w:qFormat/>
    <w:rsid w:val="00D545EE"/>
    <w:pPr>
      <w:keepNext/>
      <w:keepLines/>
      <w:spacing w:before="160" w:after="120"/>
      <w:outlineLvl w:val="1"/>
    </w:pPr>
    <w:rPr>
      <w:rFonts w:eastAsiaTheme="majorEastAsia" w:cstheme="majorBidi"/>
      <w:b/>
      <w:sz w:val="24"/>
      <w:szCs w:val="28"/>
    </w:rPr>
  </w:style>
  <w:style w:type="paragraph" w:styleId="Heading3">
    <w:name w:val="heading 3"/>
    <w:basedOn w:val="Normal"/>
    <w:next w:val="Normal"/>
    <w:link w:val="Heading3Char"/>
    <w:autoRedefine/>
    <w:unhideWhenUsed/>
    <w:qFormat/>
    <w:rsid w:val="000D44DB"/>
    <w:pPr>
      <w:keepNext/>
      <w:keepLines/>
      <w:spacing w:before="40" w:after="0"/>
      <w:outlineLvl w:val="2"/>
    </w:pPr>
    <w:rPr>
      <w:rFonts w:eastAsiaTheme="majorEastAsia" w:cstheme="majorBidi"/>
      <w:b/>
      <w:sz w:val="24"/>
      <w:szCs w:val="24"/>
      <w:lang w:eastAsia="en-GB"/>
    </w:rPr>
  </w:style>
  <w:style w:type="paragraph" w:styleId="Heading4">
    <w:name w:val="heading 4"/>
    <w:basedOn w:val="Normal"/>
    <w:next w:val="Normal"/>
    <w:link w:val="Heading4Char"/>
    <w:unhideWhenUsed/>
    <w:rsid w:val="004774DC"/>
    <w:pPr>
      <w:spacing w:before="200" w:after="210" w:line="264" w:lineRule="auto"/>
      <w:outlineLvl w:val="3"/>
    </w:pPr>
    <w:rPr>
      <w:rFonts w:ascii="Cambria" w:eastAsia="Times New Roman" w:hAnsi="Cambria" w:cs="Times New Roman"/>
      <w:b/>
      <w:bCs/>
      <w:i/>
      <w:iCs/>
      <w:color w:val="000000" w:themeColor="text1"/>
      <w:lang w:bidi="en-US"/>
    </w:rPr>
  </w:style>
  <w:style w:type="paragraph" w:styleId="Heading5">
    <w:name w:val="heading 5"/>
    <w:basedOn w:val="Normal"/>
    <w:next w:val="Normal"/>
    <w:link w:val="Heading5Char"/>
    <w:unhideWhenUsed/>
    <w:rsid w:val="004774DC"/>
    <w:pPr>
      <w:numPr>
        <w:ilvl w:val="4"/>
        <w:numId w:val="14"/>
      </w:numPr>
      <w:spacing w:before="200" w:after="210" w:line="264"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nhideWhenUsed/>
    <w:rsid w:val="004774DC"/>
    <w:pPr>
      <w:numPr>
        <w:ilvl w:val="5"/>
        <w:numId w:val="14"/>
      </w:numPr>
      <w:spacing w:after="21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nhideWhenUsed/>
    <w:rsid w:val="004774DC"/>
    <w:pPr>
      <w:numPr>
        <w:ilvl w:val="6"/>
        <w:numId w:val="14"/>
      </w:numPr>
      <w:spacing w:after="210" w:line="264" w:lineRule="auto"/>
      <w:outlineLvl w:val="6"/>
    </w:pPr>
    <w:rPr>
      <w:rFonts w:ascii="Cambria" w:eastAsia="Times New Roman" w:hAnsi="Cambria" w:cs="Times New Roman"/>
      <w:i/>
      <w:iCs/>
      <w:color w:val="000000" w:themeColor="text1"/>
      <w:lang w:bidi="en-US"/>
    </w:rPr>
  </w:style>
  <w:style w:type="paragraph" w:styleId="Heading8">
    <w:name w:val="heading 8"/>
    <w:basedOn w:val="Normal"/>
    <w:next w:val="Normal"/>
    <w:link w:val="Heading8Char"/>
    <w:unhideWhenUsed/>
    <w:rsid w:val="004774DC"/>
    <w:pPr>
      <w:numPr>
        <w:ilvl w:val="7"/>
        <w:numId w:val="14"/>
      </w:numPr>
      <w:spacing w:after="210" w:line="264" w:lineRule="auto"/>
      <w:outlineLvl w:val="7"/>
    </w:pPr>
    <w:rPr>
      <w:rFonts w:ascii="Cambria" w:eastAsia="Times New Roman" w:hAnsi="Cambria" w:cs="Times New Roman"/>
      <w:color w:val="000000" w:themeColor="text1"/>
      <w:szCs w:val="20"/>
      <w:lang w:bidi="en-US"/>
    </w:rPr>
  </w:style>
  <w:style w:type="paragraph" w:styleId="Heading9">
    <w:name w:val="heading 9"/>
    <w:basedOn w:val="Normal"/>
    <w:next w:val="Normal"/>
    <w:link w:val="Heading9Char"/>
    <w:uiPriority w:val="9"/>
    <w:semiHidden/>
    <w:unhideWhenUsed/>
    <w:qFormat/>
    <w:rsid w:val="004774DC"/>
    <w:pPr>
      <w:numPr>
        <w:ilvl w:val="8"/>
        <w:numId w:val="14"/>
      </w:numPr>
      <w:spacing w:after="210" w:line="264" w:lineRule="auto"/>
      <w:outlineLvl w:val="8"/>
    </w:pPr>
    <w:rPr>
      <w:rFonts w:ascii="Cambria" w:eastAsia="Times New Roman" w:hAnsi="Cambria" w:cs="Times New Roman"/>
      <w:i/>
      <w:iCs/>
      <w:color w:val="000000" w:themeColor="text1"/>
      <w:spacing w:val="5"/>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D00"/>
  </w:style>
  <w:style w:type="paragraph" w:styleId="Footer">
    <w:name w:val="footer"/>
    <w:basedOn w:val="Normal"/>
    <w:link w:val="FooterChar"/>
    <w:unhideWhenUsed/>
    <w:rsid w:val="00704D00"/>
    <w:pPr>
      <w:tabs>
        <w:tab w:val="center" w:pos="4513"/>
        <w:tab w:val="right" w:pos="9026"/>
      </w:tabs>
      <w:spacing w:after="0" w:line="240" w:lineRule="auto"/>
    </w:pPr>
  </w:style>
  <w:style w:type="character" w:customStyle="1" w:styleId="FooterChar">
    <w:name w:val="Footer Char"/>
    <w:basedOn w:val="DefaultParagraphFont"/>
    <w:link w:val="Footer"/>
    <w:rsid w:val="00704D00"/>
  </w:style>
  <w:style w:type="table" w:styleId="TableGrid">
    <w:name w:val="Table Grid"/>
    <w:basedOn w:val="TableNormal"/>
    <w:rsid w:val="00D3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2B43BE"/>
    <w:rPr>
      <w:rFonts w:ascii="Arial" w:hAnsi="Arial"/>
      <w:b/>
      <w:color w:val="F596C5" w:themeColor="accent3"/>
      <w:u w:val="single"/>
    </w:rPr>
  </w:style>
  <w:style w:type="character" w:styleId="UnresolvedMention">
    <w:name w:val="Unresolved Mention"/>
    <w:basedOn w:val="DefaultParagraphFont"/>
    <w:uiPriority w:val="99"/>
    <w:semiHidden/>
    <w:unhideWhenUsed/>
    <w:rsid w:val="006626BE"/>
    <w:rPr>
      <w:color w:val="605E5C"/>
      <w:shd w:val="clear" w:color="auto" w:fill="E1DFDD"/>
    </w:rPr>
  </w:style>
  <w:style w:type="paragraph" w:styleId="NoSpacing">
    <w:name w:val="No Spacing"/>
    <w:link w:val="NoSpacingChar"/>
    <w:uiPriority w:val="1"/>
    <w:qFormat/>
    <w:rsid w:val="00A90402"/>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A90402"/>
    <w:rPr>
      <w:rFonts w:ascii="Arial" w:eastAsiaTheme="minorEastAsia" w:hAnsi="Arial"/>
      <w:lang w:val="en-US"/>
    </w:rPr>
  </w:style>
  <w:style w:type="paragraph" w:customStyle="1" w:styleId="Thistle-Head1-10">
    <w:name w:val="Thistle - Head 1 - 1.0"/>
    <w:basedOn w:val="Normal"/>
    <w:qFormat/>
    <w:rsid w:val="00826641"/>
    <w:pPr>
      <w:numPr>
        <w:numId w:val="1"/>
      </w:numPr>
      <w:suppressAutoHyphens/>
      <w:spacing w:before="300" w:after="300"/>
      <w:jc w:val="both"/>
      <w:outlineLvl w:val="0"/>
    </w:pPr>
    <w:rPr>
      <w:rFonts w:eastAsia="Times New Roman" w:cs="Arial"/>
      <w:b/>
      <w:bCs/>
      <w:color w:val="2E2755" w:themeColor="text2"/>
      <w:sz w:val="32"/>
      <w:szCs w:val="32"/>
      <w:lang w:eastAsia="en-GB"/>
    </w:rPr>
  </w:style>
  <w:style w:type="paragraph" w:customStyle="1" w:styleId="Thistle-Head2-11">
    <w:name w:val="Thistle - Head 2 - 1.1"/>
    <w:basedOn w:val="Thistle-Head1-10"/>
    <w:qFormat/>
    <w:rsid w:val="00CF66F9"/>
    <w:pPr>
      <w:numPr>
        <w:ilvl w:val="1"/>
      </w:numPr>
      <w:outlineLvl w:val="1"/>
    </w:pPr>
  </w:style>
  <w:style w:type="paragraph" w:styleId="TOC1">
    <w:name w:val="toc 1"/>
    <w:basedOn w:val="Normal"/>
    <w:next w:val="Normal"/>
    <w:autoRedefine/>
    <w:uiPriority w:val="39"/>
    <w:unhideWhenUsed/>
    <w:rsid w:val="004C5B16"/>
    <w:pPr>
      <w:tabs>
        <w:tab w:val="left" w:pos="440"/>
        <w:tab w:val="right" w:leader="dot" w:pos="9016"/>
      </w:tabs>
      <w:spacing w:after="120"/>
    </w:pPr>
    <w:rPr>
      <w:rFonts w:eastAsiaTheme="minorEastAsia" w:cs="Arial"/>
      <w:noProof/>
      <w:szCs w:val="20"/>
      <w:lang w:eastAsia="en-GB"/>
    </w:rPr>
  </w:style>
  <w:style w:type="paragraph" w:customStyle="1" w:styleId="Thistle-Textbody">
    <w:name w:val="Thistle - Text body"/>
    <w:basedOn w:val="Normal"/>
    <w:qFormat/>
    <w:rsid w:val="00EA2F67"/>
    <w:pPr>
      <w:tabs>
        <w:tab w:val="left" w:pos="880"/>
        <w:tab w:val="right" w:leader="dot" w:pos="9016"/>
      </w:tabs>
      <w:spacing w:after="100"/>
    </w:pPr>
    <w:rPr>
      <w:rFonts w:eastAsiaTheme="minorEastAsia"/>
      <w:noProof/>
      <w:lang w:eastAsia="en-GB"/>
    </w:rPr>
  </w:style>
  <w:style w:type="paragraph" w:customStyle="1" w:styleId="Thistle-Head3111">
    <w:name w:val="Thistle - Head 3 1.1.1"/>
    <w:basedOn w:val="Thistle-Head2-11"/>
    <w:qFormat/>
    <w:rsid w:val="00CF66F9"/>
    <w:pPr>
      <w:numPr>
        <w:ilvl w:val="2"/>
      </w:numPr>
      <w:outlineLvl w:val="2"/>
    </w:pPr>
  </w:style>
  <w:style w:type="paragraph" w:styleId="Title">
    <w:name w:val="Title"/>
    <w:basedOn w:val="Normal"/>
    <w:next w:val="Normal"/>
    <w:link w:val="TitleChar"/>
    <w:uiPriority w:val="10"/>
    <w:qFormat/>
    <w:rsid w:val="00870658"/>
    <w:pPr>
      <w:spacing w:after="0" w:line="240" w:lineRule="auto"/>
      <w:contextualSpacing/>
    </w:pPr>
    <w:rPr>
      <w:rFonts w:ascii="Arial Black" w:eastAsiaTheme="majorEastAsia" w:hAnsi="Arial Black" w:cstheme="majorBidi"/>
      <w:b/>
      <w:spacing w:val="-10"/>
      <w:kern w:val="28"/>
      <w:sz w:val="56"/>
      <w:szCs w:val="56"/>
    </w:rPr>
  </w:style>
  <w:style w:type="character" w:customStyle="1" w:styleId="TitleChar">
    <w:name w:val="Title Char"/>
    <w:basedOn w:val="DefaultParagraphFont"/>
    <w:link w:val="Title"/>
    <w:uiPriority w:val="10"/>
    <w:rsid w:val="00870658"/>
    <w:rPr>
      <w:rFonts w:ascii="Arial Black" w:eastAsiaTheme="majorEastAsia" w:hAnsi="Arial Black" w:cstheme="majorBidi"/>
      <w:b/>
      <w:spacing w:val="-10"/>
      <w:kern w:val="28"/>
      <w:sz w:val="56"/>
      <w:szCs w:val="56"/>
    </w:rPr>
  </w:style>
  <w:style w:type="paragraph" w:customStyle="1" w:styleId="ThistleLevel1Bullet">
    <w:name w:val="Thistle Level 1 Bullet"/>
    <w:basedOn w:val="ListParagraph"/>
    <w:link w:val="ThistleLevel1BulletChar"/>
    <w:qFormat/>
    <w:rsid w:val="00EA2F67"/>
    <w:pPr>
      <w:numPr>
        <w:numId w:val="2"/>
      </w:numPr>
      <w:spacing w:before="360" w:after="480"/>
      <w:jc w:val="both"/>
    </w:pPr>
    <w:rPr>
      <w:rFonts w:eastAsiaTheme="minorEastAsia"/>
      <w:szCs w:val="18"/>
    </w:rPr>
  </w:style>
  <w:style w:type="character" w:customStyle="1" w:styleId="ThistleLevel1BulletChar">
    <w:name w:val="Thistle Level 1 Bullet Char"/>
    <w:basedOn w:val="DefaultParagraphFont"/>
    <w:link w:val="ThistleLevel1Bullet"/>
    <w:rsid w:val="00EA2F67"/>
    <w:rPr>
      <w:rFonts w:ascii="Arial" w:eastAsiaTheme="minorEastAsia" w:hAnsi="Arial"/>
      <w:sz w:val="20"/>
      <w:szCs w:val="18"/>
    </w:rPr>
  </w:style>
  <w:style w:type="paragraph" w:styleId="ListParagraph">
    <w:name w:val="List Paragraph"/>
    <w:basedOn w:val="Normal"/>
    <w:link w:val="ListParagraphChar"/>
    <w:uiPriority w:val="34"/>
    <w:qFormat/>
    <w:rsid w:val="00CF66F9"/>
    <w:pPr>
      <w:ind w:left="720"/>
      <w:contextualSpacing/>
    </w:pPr>
  </w:style>
  <w:style w:type="character" w:styleId="PageNumber">
    <w:name w:val="page number"/>
    <w:basedOn w:val="DefaultParagraphFont"/>
    <w:uiPriority w:val="99"/>
    <w:semiHidden/>
    <w:unhideWhenUsed/>
    <w:rsid w:val="00E37D44"/>
  </w:style>
  <w:style w:type="numbering" w:customStyle="1" w:styleId="CurrentList1">
    <w:name w:val="Current List1"/>
    <w:uiPriority w:val="99"/>
    <w:rsid w:val="00BF451F"/>
    <w:pPr>
      <w:numPr>
        <w:numId w:val="3"/>
      </w:numPr>
    </w:pPr>
  </w:style>
  <w:style w:type="numbering" w:customStyle="1" w:styleId="CurrentList2">
    <w:name w:val="Current List2"/>
    <w:uiPriority w:val="99"/>
    <w:rsid w:val="00CC4853"/>
    <w:pPr>
      <w:numPr>
        <w:numId w:val="4"/>
      </w:numPr>
    </w:pPr>
  </w:style>
  <w:style w:type="numbering" w:customStyle="1" w:styleId="CurrentList3">
    <w:name w:val="Current List3"/>
    <w:uiPriority w:val="99"/>
    <w:rsid w:val="00CC4853"/>
    <w:pPr>
      <w:numPr>
        <w:numId w:val="5"/>
      </w:numPr>
    </w:pPr>
  </w:style>
  <w:style w:type="numbering" w:customStyle="1" w:styleId="CurrentList4">
    <w:name w:val="Current List4"/>
    <w:uiPriority w:val="99"/>
    <w:rsid w:val="007463D8"/>
    <w:pPr>
      <w:numPr>
        <w:numId w:val="6"/>
      </w:numPr>
    </w:pPr>
  </w:style>
  <w:style w:type="numbering" w:customStyle="1" w:styleId="CurrentList5">
    <w:name w:val="Current List5"/>
    <w:uiPriority w:val="99"/>
    <w:rsid w:val="00D401FC"/>
    <w:pPr>
      <w:numPr>
        <w:numId w:val="7"/>
      </w:numPr>
    </w:pPr>
  </w:style>
  <w:style w:type="numbering" w:customStyle="1" w:styleId="CurrentList6">
    <w:name w:val="Current List6"/>
    <w:uiPriority w:val="99"/>
    <w:rsid w:val="00C035A6"/>
    <w:pPr>
      <w:numPr>
        <w:numId w:val="8"/>
      </w:numPr>
    </w:pPr>
  </w:style>
  <w:style w:type="numbering" w:customStyle="1" w:styleId="CurrentList7">
    <w:name w:val="Current List7"/>
    <w:uiPriority w:val="99"/>
    <w:rsid w:val="00AC464D"/>
    <w:pPr>
      <w:numPr>
        <w:numId w:val="9"/>
      </w:numPr>
    </w:pPr>
  </w:style>
  <w:style w:type="paragraph" w:customStyle="1" w:styleId="Cover-company">
    <w:name w:val="Cover - company"/>
    <w:basedOn w:val="NoSpacing"/>
    <w:qFormat/>
    <w:rsid w:val="00A56FCB"/>
    <w:pPr>
      <w:framePr w:hSpace="187" w:wrap="around" w:vAnchor="page" w:hAnchor="page" w:x="4296" w:y="4873"/>
      <w:jc w:val="right"/>
    </w:pPr>
    <w:rPr>
      <w:rFonts w:cs="Arial"/>
      <w:b/>
      <w:bCs/>
      <w:color w:val="46DCDC" w:themeColor="accent1"/>
      <w:sz w:val="20"/>
      <w:szCs w:val="20"/>
    </w:rPr>
  </w:style>
  <w:style w:type="character" w:customStyle="1" w:styleId="Heading1Char">
    <w:name w:val="Heading 1 Char"/>
    <w:basedOn w:val="DefaultParagraphFont"/>
    <w:link w:val="Heading1"/>
    <w:rsid w:val="00A64B42"/>
    <w:rPr>
      <w:rFonts w:ascii="Arial" w:eastAsiaTheme="majorEastAsia" w:hAnsi="Arial" w:cstheme="majorBidi"/>
      <w:b/>
      <w:color w:val="46DCDC" w:themeColor="accent1"/>
      <w:sz w:val="32"/>
      <w:szCs w:val="32"/>
    </w:rPr>
  </w:style>
  <w:style w:type="character" w:customStyle="1" w:styleId="Heading2Char">
    <w:name w:val="Heading 2 Char"/>
    <w:basedOn w:val="DefaultParagraphFont"/>
    <w:link w:val="Heading2"/>
    <w:rsid w:val="00D545EE"/>
    <w:rPr>
      <w:rFonts w:ascii="Arial" w:eastAsiaTheme="majorEastAsia" w:hAnsi="Arial" w:cstheme="majorBidi"/>
      <w:b/>
      <w:sz w:val="24"/>
      <w:szCs w:val="28"/>
    </w:rPr>
  </w:style>
  <w:style w:type="paragraph" w:styleId="Subtitle">
    <w:name w:val="Subtitle"/>
    <w:basedOn w:val="Normal"/>
    <w:next w:val="Normal"/>
    <w:link w:val="SubtitleChar"/>
    <w:uiPriority w:val="11"/>
    <w:qFormat/>
    <w:rsid w:val="008706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0658"/>
    <w:rPr>
      <w:rFonts w:ascii="Arial" w:eastAsiaTheme="minorEastAsia" w:hAnsi="Arial"/>
      <w:color w:val="5A5A5A" w:themeColor="text1" w:themeTint="A5"/>
      <w:spacing w:val="15"/>
    </w:rPr>
  </w:style>
  <w:style w:type="paragraph" w:customStyle="1" w:styleId="footer-company">
    <w:name w:val="footer - company"/>
    <w:basedOn w:val="Normal"/>
    <w:qFormat/>
    <w:rsid w:val="00A27173"/>
    <w:pPr>
      <w:spacing w:after="0" w:line="240" w:lineRule="auto"/>
      <w:suppressOverlap/>
      <w:jc w:val="right"/>
    </w:pPr>
    <w:rPr>
      <w:rFonts w:cs="Arial"/>
      <w:b/>
      <w:bCs/>
      <w:color w:val="46DCDC" w:themeColor="accent1"/>
      <w:sz w:val="16"/>
      <w:szCs w:val="16"/>
    </w:rPr>
  </w:style>
  <w:style w:type="paragraph" w:customStyle="1" w:styleId="Footer-title">
    <w:name w:val="Footer - title"/>
    <w:basedOn w:val="Normal"/>
    <w:qFormat/>
    <w:rsid w:val="00A56FCB"/>
    <w:pPr>
      <w:spacing w:after="0" w:line="240" w:lineRule="auto"/>
      <w:suppressOverlap/>
      <w:jc w:val="right"/>
    </w:pPr>
    <w:rPr>
      <w:rFonts w:cs="Arial"/>
      <w:b/>
      <w:bCs/>
      <w:color w:val="2E2755" w:themeColor="text2"/>
    </w:rPr>
  </w:style>
  <w:style w:type="paragraph" w:customStyle="1" w:styleId="Footerversion">
    <w:name w:val="Footer version"/>
    <w:basedOn w:val="Footer-title"/>
    <w:qFormat/>
    <w:rsid w:val="00A27173"/>
    <w:rPr>
      <w:b w:val="0"/>
      <w:color w:val="46DCDC" w:themeColor="accent1"/>
      <w:sz w:val="16"/>
      <w:szCs w:val="16"/>
    </w:rPr>
  </w:style>
  <w:style w:type="paragraph" w:customStyle="1" w:styleId="PageNumber1">
    <w:name w:val="Page Number1"/>
    <w:basedOn w:val="Footer"/>
    <w:qFormat/>
    <w:rsid w:val="0020652E"/>
    <w:pPr>
      <w:suppressOverlap/>
    </w:pPr>
    <w:rPr>
      <w:rFonts w:cs="Arial"/>
      <w:b/>
      <w:bCs/>
      <w:color w:val="2E2755" w:themeColor="text2"/>
    </w:rPr>
  </w:style>
  <w:style w:type="paragraph" w:customStyle="1" w:styleId="ContentsTitle">
    <w:name w:val="Contents Title"/>
    <w:basedOn w:val="Thistle-Textbody"/>
    <w:qFormat/>
    <w:rsid w:val="0020652E"/>
    <w:rPr>
      <w:rFonts w:cs="Arial"/>
      <w:b/>
      <w:color w:val="2E2755" w:themeColor="text2"/>
      <w:sz w:val="32"/>
      <w:szCs w:val="32"/>
    </w:rPr>
  </w:style>
  <w:style w:type="numbering" w:customStyle="1" w:styleId="CurrentList8">
    <w:name w:val="Current List8"/>
    <w:uiPriority w:val="99"/>
    <w:rsid w:val="00AE593B"/>
    <w:pPr>
      <w:numPr>
        <w:numId w:val="10"/>
      </w:numPr>
    </w:pPr>
  </w:style>
  <w:style w:type="numbering" w:customStyle="1" w:styleId="CurrentList9">
    <w:name w:val="Current List9"/>
    <w:uiPriority w:val="99"/>
    <w:rsid w:val="00C823C5"/>
    <w:pPr>
      <w:numPr>
        <w:numId w:val="11"/>
      </w:numPr>
    </w:pPr>
  </w:style>
  <w:style w:type="numbering" w:customStyle="1" w:styleId="CurrentList10">
    <w:name w:val="Current List10"/>
    <w:uiPriority w:val="99"/>
    <w:rsid w:val="00060192"/>
    <w:pPr>
      <w:numPr>
        <w:numId w:val="12"/>
      </w:numPr>
    </w:pPr>
  </w:style>
  <w:style w:type="numbering" w:customStyle="1" w:styleId="CurrentList11">
    <w:name w:val="Current List11"/>
    <w:uiPriority w:val="99"/>
    <w:rsid w:val="00826641"/>
    <w:pPr>
      <w:numPr>
        <w:numId w:val="13"/>
      </w:numPr>
    </w:pPr>
  </w:style>
  <w:style w:type="paragraph" w:customStyle="1" w:styleId="GovTablecontents">
    <w:name w:val="Gov Table contents"/>
    <w:basedOn w:val="Normal"/>
    <w:qFormat/>
    <w:rsid w:val="00D80871"/>
    <w:pPr>
      <w:framePr w:hSpace="180" w:wrap="around" w:vAnchor="page" w:hAnchor="margin" w:y="1685"/>
      <w:spacing w:before="60" w:after="60"/>
    </w:pPr>
    <w:rPr>
      <w:rFonts w:cs="Arial"/>
      <w:bCs/>
      <w:sz w:val="16"/>
      <w:szCs w:val="16"/>
    </w:rPr>
  </w:style>
  <w:style w:type="paragraph" w:customStyle="1" w:styleId="Default">
    <w:name w:val="Default"/>
    <w:rsid w:val="00CB2A5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0D44DB"/>
    <w:rPr>
      <w:rFonts w:ascii="Arial" w:eastAsiaTheme="majorEastAsia" w:hAnsi="Arial" w:cstheme="majorBidi"/>
      <w:b/>
      <w:sz w:val="24"/>
      <w:szCs w:val="24"/>
      <w:lang w:eastAsia="en-GB"/>
    </w:rPr>
  </w:style>
  <w:style w:type="character" w:customStyle="1" w:styleId="Heading4Char">
    <w:name w:val="Heading 4 Char"/>
    <w:basedOn w:val="DefaultParagraphFont"/>
    <w:link w:val="Heading4"/>
    <w:rsid w:val="004774DC"/>
    <w:rPr>
      <w:rFonts w:ascii="Cambria" w:eastAsia="Times New Roman" w:hAnsi="Cambria" w:cs="Times New Roman"/>
      <w:b/>
      <w:bCs/>
      <w:i/>
      <w:iCs/>
      <w:color w:val="000000" w:themeColor="text1"/>
      <w:sz w:val="20"/>
      <w:lang w:bidi="en-US"/>
    </w:rPr>
  </w:style>
  <w:style w:type="character" w:customStyle="1" w:styleId="Heading5Char">
    <w:name w:val="Heading 5 Char"/>
    <w:basedOn w:val="DefaultParagraphFont"/>
    <w:link w:val="Heading5"/>
    <w:rsid w:val="004774DC"/>
    <w:rPr>
      <w:rFonts w:ascii="Cambria" w:eastAsia="Times New Roman" w:hAnsi="Cambria" w:cs="Times New Roman"/>
      <w:b/>
      <w:bCs/>
      <w:color w:val="7F7F7F"/>
      <w:sz w:val="20"/>
      <w:lang w:bidi="en-US"/>
    </w:rPr>
  </w:style>
  <w:style w:type="character" w:customStyle="1" w:styleId="Heading6Char">
    <w:name w:val="Heading 6 Char"/>
    <w:basedOn w:val="DefaultParagraphFont"/>
    <w:link w:val="Heading6"/>
    <w:rsid w:val="004774DC"/>
    <w:rPr>
      <w:rFonts w:ascii="Cambria" w:eastAsia="Times New Roman" w:hAnsi="Cambria" w:cs="Times New Roman"/>
      <w:b/>
      <w:bCs/>
      <w:i/>
      <w:iCs/>
      <w:color w:val="7F7F7F"/>
      <w:sz w:val="20"/>
      <w:lang w:bidi="en-US"/>
    </w:rPr>
  </w:style>
  <w:style w:type="character" w:customStyle="1" w:styleId="Heading7Char">
    <w:name w:val="Heading 7 Char"/>
    <w:basedOn w:val="DefaultParagraphFont"/>
    <w:link w:val="Heading7"/>
    <w:rsid w:val="004774DC"/>
    <w:rPr>
      <w:rFonts w:ascii="Cambria" w:eastAsia="Times New Roman" w:hAnsi="Cambria" w:cs="Times New Roman"/>
      <w:i/>
      <w:iCs/>
      <w:color w:val="000000" w:themeColor="text1"/>
      <w:sz w:val="20"/>
      <w:lang w:bidi="en-US"/>
    </w:rPr>
  </w:style>
  <w:style w:type="character" w:customStyle="1" w:styleId="Heading8Char">
    <w:name w:val="Heading 8 Char"/>
    <w:basedOn w:val="DefaultParagraphFont"/>
    <w:link w:val="Heading8"/>
    <w:rsid w:val="004774DC"/>
    <w:rPr>
      <w:rFonts w:ascii="Cambria" w:eastAsia="Times New Roman" w:hAnsi="Cambria" w:cs="Times New Roman"/>
      <w:color w:val="000000" w:themeColor="text1"/>
      <w:sz w:val="20"/>
      <w:szCs w:val="20"/>
      <w:lang w:bidi="en-US"/>
    </w:rPr>
  </w:style>
  <w:style w:type="character" w:customStyle="1" w:styleId="Heading9Char">
    <w:name w:val="Heading 9 Char"/>
    <w:basedOn w:val="DefaultParagraphFont"/>
    <w:link w:val="Heading9"/>
    <w:uiPriority w:val="9"/>
    <w:semiHidden/>
    <w:rsid w:val="004774DC"/>
    <w:rPr>
      <w:rFonts w:ascii="Cambria" w:eastAsia="Times New Roman" w:hAnsi="Cambria" w:cs="Times New Roman"/>
      <w:i/>
      <w:iCs/>
      <w:color w:val="000000" w:themeColor="text1"/>
      <w:spacing w:val="5"/>
      <w:sz w:val="20"/>
      <w:szCs w:val="20"/>
      <w:lang w:bidi="en-US"/>
    </w:rPr>
  </w:style>
  <w:style w:type="paragraph" w:styleId="BalloonText">
    <w:name w:val="Balloon Text"/>
    <w:basedOn w:val="Normal"/>
    <w:link w:val="BalloonTextChar"/>
    <w:uiPriority w:val="99"/>
    <w:semiHidden/>
    <w:unhideWhenUsed/>
    <w:rsid w:val="004774DC"/>
    <w:pPr>
      <w:spacing w:after="210" w:line="264" w:lineRule="auto"/>
    </w:pPr>
    <w:rPr>
      <w:rFonts w:ascii="Tahoma" w:eastAsia="Times New Roman" w:hAnsi="Tahoma" w:cs="Tahoma"/>
      <w:color w:val="000000" w:themeColor="text1"/>
      <w:sz w:val="16"/>
      <w:szCs w:val="16"/>
      <w:lang w:bidi="en-US"/>
    </w:rPr>
  </w:style>
  <w:style w:type="character" w:customStyle="1" w:styleId="BalloonTextChar">
    <w:name w:val="Balloon Text Char"/>
    <w:basedOn w:val="DefaultParagraphFont"/>
    <w:link w:val="BalloonText"/>
    <w:uiPriority w:val="99"/>
    <w:semiHidden/>
    <w:rsid w:val="004774DC"/>
    <w:rPr>
      <w:rFonts w:ascii="Tahoma" w:eastAsia="Times New Roman" w:hAnsi="Tahoma" w:cs="Tahoma"/>
      <w:color w:val="000000" w:themeColor="text1"/>
      <w:sz w:val="16"/>
      <w:szCs w:val="16"/>
      <w:lang w:bidi="en-US"/>
    </w:rPr>
  </w:style>
  <w:style w:type="paragraph" w:styleId="Caption">
    <w:name w:val="caption"/>
    <w:basedOn w:val="Normal"/>
    <w:next w:val="Normal"/>
    <w:uiPriority w:val="35"/>
    <w:semiHidden/>
    <w:unhideWhenUsed/>
    <w:rsid w:val="004774DC"/>
    <w:pPr>
      <w:spacing w:after="210" w:line="264" w:lineRule="auto"/>
    </w:pPr>
    <w:rPr>
      <w:rFonts w:ascii="Rockwell Light" w:eastAsia="Times New Roman" w:hAnsi="Rockwell Light" w:cs="Times New Roman"/>
      <w:b/>
      <w:bCs/>
      <w:caps/>
      <w:color w:val="000000" w:themeColor="text1"/>
      <w:sz w:val="16"/>
      <w:szCs w:val="18"/>
      <w:lang w:bidi="en-US"/>
    </w:rPr>
  </w:style>
  <w:style w:type="character" w:styleId="Strong">
    <w:name w:val="Strong"/>
    <w:uiPriority w:val="22"/>
    <w:qFormat/>
    <w:rsid w:val="004774DC"/>
    <w:rPr>
      <w:b/>
      <w:bCs/>
    </w:rPr>
  </w:style>
  <w:style w:type="character" w:styleId="Emphasis">
    <w:name w:val="Emphasis"/>
    <w:uiPriority w:val="20"/>
    <w:qFormat/>
    <w:rsid w:val="004774DC"/>
    <w:rPr>
      <w:b/>
      <w:bCs/>
      <w:i/>
      <w:iCs/>
      <w:spacing w:val="10"/>
      <w:bdr w:val="none" w:sz="0" w:space="0" w:color="auto"/>
      <w:shd w:val="clear" w:color="auto" w:fill="auto"/>
    </w:rPr>
  </w:style>
  <w:style w:type="paragraph" w:styleId="Quote">
    <w:name w:val="Quote"/>
    <w:basedOn w:val="Normal"/>
    <w:next w:val="Normal"/>
    <w:link w:val="QuoteChar"/>
    <w:uiPriority w:val="29"/>
    <w:qFormat/>
    <w:rsid w:val="004774DC"/>
    <w:pPr>
      <w:spacing w:before="200" w:after="210" w:line="264" w:lineRule="auto"/>
      <w:ind w:left="360" w:right="360"/>
    </w:pPr>
    <w:rPr>
      <w:rFonts w:ascii="Rockwell Light" w:eastAsia="Times New Roman" w:hAnsi="Rockwell Light" w:cs="Times New Roman"/>
      <w:i/>
      <w:iCs/>
      <w:color w:val="000000" w:themeColor="text1"/>
      <w:lang w:bidi="en-US"/>
    </w:rPr>
  </w:style>
  <w:style w:type="character" w:customStyle="1" w:styleId="QuoteChar">
    <w:name w:val="Quote Char"/>
    <w:basedOn w:val="DefaultParagraphFont"/>
    <w:link w:val="Quote"/>
    <w:uiPriority w:val="29"/>
    <w:rsid w:val="004774DC"/>
    <w:rPr>
      <w:rFonts w:ascii="Rockwell Light" w:eastAsia="Times New Roman" w:hAnsi="Rockwell Light" w:cs="Times New Roman"/>
      <w:i/>
      <w:iCs/>
      <w:color w:val="000000" w:themeColor="text1"/>
      <w:sz w:val="20"/>
      <w:lang w:bidi="en-US"/>
    </w:rPr>
  </w:style>
  <w:style w:type="paragraph" w:styleId="IntenseQuote">
    <w:name w:val="Intense Quote"/>
    <w:basedOn w:val="Normal"/>
    <w:next w:val="Normal"/>
    <w:link w:val="IntenseQuoteChar"/>
    <w:uiPriority w:val="30"/>
    <w:qFormat/>
    <w:rsid w:val="004774DC"/>
    <w:pPr>
      <w:pBdr>
        <w:bottom w:val="single" w:sz="4" w:space="1" w:color="auto"/>
      </w:pBdr>
      <w:spacing w:before="200" w:after="280" w:line="264" w:lineRule="auto"/>
      <w:ind w:left="1008" w:right="1152"/>
      <w:jc w:val="both"/>
    </w:pPr>
    <w:rPr>
      <w:rFonts w:ascii="Rockwell Light" w:eastAsia="Times New Roman" w:hAnsi="Rockwell Light" w:cs="Times New Roman"/>
      <w:b/>
      <w:bCs/>
      <w:i/>
      <w:iCs/>
      <w:color w:val="000000" w:themeColor="text1"/>
      <w:lang w:bidi="en-US"/>
    </w:rPr>
  </w:style>
  <w:style w:type="character" w:customStyle="1" w:styleId="IntenseQuoteChar">
    <w:name w:val="Intense Quote Char"/>
    <w:basedOn w:val="DefaultParagraphFont"/>
    <w:link w:val="IntenseQuote"/>
    <w:uiPriority w:val="30"/>
    <w:rsid w:val="004774DC"/>
    <w:rPr>
      <w:rFonts w:ascii="Rockwell Light" w:eastAsia="Times New Roman" w:hAnsi="Rockwell Light" w:cs="Times New Roman"/>
      <w:b/>
      <w:bCs/>
      <w:i/>
      <w:iCs/>
      <w:color w:val="000000" w:themeColor="text1"/>
      <w:sz w:val="20"/>
      <w:lang w:bidi="en-US"/>
    </w:rPr>
  </w:style>
  <w:style w:type="character" w:styleId="SubtleEmphasis">
    <w:name w:val="Subtle Emphasis"/>
    <w:uiPriority w:val="19"/>
    <w:qFormat/>
    <w:rsid w:val="004774DC"/>
    <w:rPr>
      <w:i/>
      <w:iCs/>
    </w:rPr>
  </w:style>
  <w:style w:type="character" w:styleId="IntenseEmphasis">
    <w:name w:val="Intense Emphasis"/>
    <w:uiPriority w:val="21"/>
    <w:qFormat/>
    <w:rsid w:val="004774DC"/>
    <w:rPr>
      <w:b/>
      <w:bCs/>
    </w:rPr>
  </w:style>
  <w:style w:type="character" w:styleId="SubtleReference">
    <w:name w:val="Subtle Reference"/>
    <w:uiPriority w:val="31"/>
    <w:qFormat/>
    <w:rsid w:val="004774DC"/>
    <w:rPr>
      <w:smallCaps/>
    </w:rPr>
  </w:style>
  <w:style w:type="character" w:styleId="IntenseReference">
    <w:name w:val="Intense Reference"/>
    <w:uiPriority w:val="32"/>
    <w:qFormat/>
    <w:rsid w:val="004774DC"/>
    <w:rPr>
      <w:smallCaps/>
      <w:spacing w:val="5"/>
      <w:u w:val="single"/>
    </w:rPr>
  </w:style>
  <w:style w:type="character" w:styleId="BookTitle">
    <w:name w:val="Book Title"/>
    <w:uiPriority w:val="33"/>
    <w:qFormat/>
    <w:rsid w:val="004774DC"/>
    <w:rPr>
      <w:i/>
      <w:iCs/>
      <w:smallCaps/>
      <w:spacing w:val="5"/>
    </w:rPr>
  </w:style>
  <w:style w:type="paragraph" w:styleId="TOCHeading">
    <w:name w:val="TOC Heading"/>
    <w:basedOn w:val="Heading1"/>
    <w:next w:val="Normal"/>
    <w:uiPriority w:val="39"/>
    <w:unhideWhenUsed/>
    <w:qFormat/>
    <w:rsid w:val="004774DC"/>
    <w:pPr>
      <w:keepNext w:val="0"/>
      <w:keepLines w:val="0"/>
      <w:spacing w:before="0" w:after="210" w:line="264" w:lineRule="auto"/>
      <w:contextualSpacing/>
      <w:outlineLvl w:val="9"/>
    </w:pPr>
    <w:rPr>
      <w:rFonts w:eastAsia="Times New Roman" w:cs="Times New Roman"/>
      <w:b w:val="0"/>
      <w:bCs/>
      <w:szCs w:val="28"/>
      <w:lang w:bidi="en-US"/>
    </w:rPr>
  </w:style>
  <w:style w:type="paragraph" w:styleId="TOC2">
    <w:name w:val="toc 2"/>
    <w:basedOn w:val="Normal"/>
    <w:next w:val="Normal"/>
    <w:autoRedefine/>
    <w:uiPriority w:val="39"/>
    <w:unhideWhenUsed/>
    <w:rsid w:val="004774DC"/>
    <w:pPr>
      <w:tabs>
        <w:tab w:val="left" w:pos="567"/>
        <w:tab w:val="right" w:pos="9072"/>
      </w:tabs>
      <w:spacing w:after="210" w:line="264" w:lineRule="auto"/>
    </w:pPr>
    <w:rPr>
      <w:rFonts w:ascii="Rockwell Light" w:eastAsia="Times New Roman" w:hAnsi="Rockwell Light" w:cs="Times New Roman"/>
      <w:color w:val="000000" w:themeColor="text1"/>
      <w:lang w:bidi="en-US"/>
    </w:rPr>
  </w:style>
  <w:style w:type="paragraph" w:styleId="TOC3">
    <w:name w:val="toc 3"/>
    <w:basedOn w:val="Normal"/>
    <w:next w:val="Normal"/>
    <w:autoRedefine/>
    <w:uiPriority w:val="39"/>
    <w:unhideWhenUsed/>
    <w:rsid w:val="004774DC"/>
    <w:pPr>
      <w:tabs>
        <w:tab w:val="left" w:pos="567"/>
        <w:tab w:val="right" w:pos="9072"/>
      </w:tabs>
      <w:spacing w:after="210" w:line="264" w:lineRule="auto"/>
    </w:pPr>
    <w:rPr>
      <w:rFonts w:ascii="Rockwell Light" w:eastAsia="Times New Roman" w:hAnsi="Rockwell Light" w:cs="Times New Roman"/>
      <w:color w:val="000000" w:themeColor="text1"/>
      <w:lang w:bidi="en-US"/>
    </w:rPr>
  </w:style>
  <w:style w:type="paragraph" w:customStyle="1" w:styleId="AppendixHeading">
    <w:name w:val="Appendix Heading"/>
    <w:next w:val="Normal"/>
    <w:link w:val="AppendixHeadingChar"/>
    <w:autoRedefine/>
    <w:qFormat/>
    <w:rsid w:val="004774DC"/>
    <w:pPr>
      <w:numPr>
        <w:ilvl w:val="3"/>
        <w:numId w:val="14"/>
      </w:numPr>
      <w:spacing w:after="210" w:line="264" w:lineRule="auto"/>
    </w:pPr>
    <w:rPr>
      <w:rFonts w:ascii="Calibri" w:eastAsia="Times New Roman" w:hAnsi="Calibri" w:cs="Times New Roman"/>
      <w:b/>
      <w:bCs/>
      <w:color w:val="46DCDC" w:themeColor="accent1"/>
      <w:sz w:val="32"/>
      <w:szCs w:val="28"/>
      <w:lang w:val="en-US" w:bidi="en-US"/>
    </w:rPr>
  </w:style>
  <w:style w:type="character" w:customStyle="1" w:styleId="AppendixHeadingChar">
    <w:name w:val="Appendix Heading Char"/>
    <w:basedOn w:val="Heading1Char"/>
    <w:link w:val="AppendixHeading"/>
    <w:rsid w:val="004774DC"/>
    <w:rPr>
      <w:rFonts w:ascii="Calibri" w:eastAsia="Times New Roman" w:hAnsi="Calibri" w:cs="Times New Roman"/>
      <w:b/>
      <w:bCs/>
      <w:color w:val="46DCDC" w:themeColor="accent1"/>
      <w:sz w:val="32"/>
      <w:szCs w:val="28"/>
      <w:lang w:val="en-US" w:bidi="en-US"/>
    </w:rPr>
  </w:style>
  <w:style w:type="character" w:styleId="CommentReference">
    <w:name w:val="annotation reference"/>
    <w:basedOn w:val="DefaultParagraphFont"/>
    <w:uiPriority w:val="99"/>
    <w:semiHidden/>
    <w:unhideWhenUsed/>
    <w:rsid w:val="004774DC"/>
    <w:rPr>
      <w:sz w:val="16"/>
      <w:szCs w:val="16"/>
    </w:rPr>
  </w:style>
  <w:style w:type="paragraph" w:styleId="CommentText">
    <w:name w:val="annotation text"/>
    <w:basedOn w:val="Normal"/>
    <w:link w:val="CommentTextChar"/>
    <w:uiPriority w:val="99"/>
    <w:unhideWhenUsed/>
    <w:rsid w:val="004774DC"/>
    <w:pPr>
      <w:spacing w:after="210" w:line="264" w:lineRule="auto"/>
    </w:pPr>
    <w:rPr>
      <w:rFonts w:ascii="Rockwell Light" w:eastAsia="Times New Roman" w:hAnsi="Rockwell Light" w:cs="Times New Roman"/>
      <w:color w:val="000000" w:themeColor="text1"/>
      <w:szCs w:val="20"/>
      <w:lang w:bidi="en-US"/>
    </w:rPr>
  </w:style>
  <w:style w:type="character" w:customStyle="1" w:styleId="CommentTextChar">
    <w:name w:val="Comment Text Char"/>
    <w:basedOn w:val="DefaultParagraphFont"/>
    <w:link w:val="CommentText"/>
    <w:uiPriority w:val="99"/>
    <w:rsid w:val="004774DC"/>
    <w:rPr>
      <w:rFonts w:ascii="Rockwell Light" w:eastAsia="Times New Roman" w:hAnsi="Rockwell Light" w:cs="Times New Roman"/>
      <w:color w:val="000000" w:themeColor="text1"/>
      <w:sz w:val="20"/>
      <w:szCs w:val="20"/>
      <w:lang w:bidi="en-US"/>
    </w:rPr>
  </w:style>
  <w:style w:type="paragraph" w:styleId="CommentSubject">
    <w:name w:val="annotation subject"/>
    <w:basedOn w:val="CommentText"/>
    <w:next w:val="CommentText"/>
    <w:link w:val="CommentSubjectChar"/>
    <w:uiPriority w:val="99"/>
    <w:semiHidden/>
    <w:unhideWhenUsed/>
    <w:rsid w:val="004774DC"/>
    <w:rPr>
      <w:b/>
      <w:bCs/>
    </w:rPr>
  </w:style>
  <w:style w:type="character" w:customStyle="1" w:styleId="CommentSubjectChar">
    <w:name w:val="Comment Subject Char"/>
    <w:basedOn w:val="CommentTextChar"/>
    <w:link w:val="CommentSubject"/>
    <w:uiPriority w:val="99"/>
    <w:semiHidden/>
    <w:rsid w:val="004774DC"/>
    <w:rPr>
      <w:rFonts w:ascii="Rockwell Light" w:eastAsia="Times New Roman" w:hAnsi="Rockwell Light" w:cs="Times New Roman"/>
      <w:b/>
      <w:bCs/>
      <w:color w:val="000000" w:themeColor="text1"/>
      <w:sz w:val="20"/>
      <w:szCs w:val="20"/>
      <w:lang w:bidi="en-US"/>
    </w:rPr>
  </w:style>
  <w:style w:type="paragraph" w:customStyle="1" w:styleId="CoverPage-Title">
    <w:name w:val="Cover Page - Title"/>
    <w:basedOn w:val="NoSpacing"/>
    <w:autoRedefine/>
    <w:qFormat/>
    <w:rsid w:val="004774DC"/>
    <w:pPr>
      <w:framePr w:hSpace="187" w:wrap="around" w:vAnchor="page" w:hAnchor="margin" w:xAlign="right" w:y="5654"/>
    </w:pPr>
    <w:rPr>
      <w:rFonts w:eastAsiaTheme="majorEastAsia" w:cstheme="majorBidi"/>
      <w:b/>
      <w:color w:val="46DCDC" w:themeColor="accent1"/>
      <w:sz w:val="32"/>
      <w:szCs w:val="36"/>
      <w:lang w:val="en-GB" w:bidi="en-US"/>
    </w:rPr>
  </w:style>
  <w:style w:type="paragraph" w:customStyle="1" w:styleId="CoverPage-Date">
    <w:name w:val="Cover Page - Date"/>
    <w:basedOn w:val="NoSpacing"/>
    <w:autoRedefine/>
    <w:qFormat/>
    <w:rsid w:val="004774DC"/>
    <w:pPr>
      <w:framePr w:hSpace="187" w:wrap="around" w:vAnchor="page" w:hAnchor="margin" w:xAlign="right" w:y="5654"/>
      <w:ind w:left="-472"/>
    </w:pPr>
    <w:rPr>
      <w:rFonts w:eastAsiaTheme="majorEastAsia" w:cstheme="majorBidi"/>
      <w:b/>
      <w:color w:val="000000" w:themeColor="text1"/>
      <w:sz w:val="32"/>
      <w:szCs w:val="40"/>
      <w:lang w:val="en-GB" w:bidi="en-US"/>
    </w:rPr>
  </w:style>
  <w:style w:type="table" w:customStyle="1" w:styleId="PlainTable31">
    <w:name w:val="Plain Table 31"/>
    <w:basedOn w:val="TableNormal"/>
    <w:uiPriority w:val="43"/>
    <w:rsid w:val="004774DC"/>
    <w:pPr>
      <w:spacing w:after="0" w:line="240" w:lineRule="auto"/>
    </w:pPr>
    <w:rPr>
      <w:rFonts w:ascii="Calibri" w:eastAsia="Times New Roman" w:hAnsi="Calibri" w:cs="Times New Roman"/>
      <w:sz w:val="20"/>
      <w:szCs w:val="20"/>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b/>
        <w:bCs/>
        <w:caps/>
      </w:rPr>
      <w:tblPr/>
      <w:tcPr>
        <w:tcBorders>
          <w:bottom w:val="nil"/>
        </w:tcBorders>
      </w:tcPr>
    </w:tblStylePr>
    <w:tblStylePr w:type="lastRow">
      <w:rPr>
        <w:b/>
        <w:bCs/>
        <w:caps/>
      </w:rPr>
      <w:tblPr/>
      <w:tcPr>
        <w:tcBorders>
          <w:top w:val="nil"/>
        </w:tcBorders>
      </w:tcPr>
    </w:tblStylePr>
    <w:tblStylePr w:type="firstCol">
      <w:rPr>
        <w:b/>
        <w:bCs/>
        <w:caps/>
      </w:rPr>
      <w:tblPr/>
      <w:tcPr>
        <w:tcBorders>
          <w:right w:val="single" w:sz="6" w:space="0" w:color="FFFFFF" w:themeColor="background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er-Copyright">
    <w:name w:val="Header - Copyright"/>
    <w:basedOn w:val="Normal"/>
    <w:link w:val="Header-CopyrightChar"/>
    <w:autoRedefine/>
    <w:qFormat/>
    <w:rsid w:val="004774DC"/>
    <w:pPr>
      <w:spacing w:after="0" w:line="240" w:lineRule="auto"/>
      <w:jc w:val="right"/>
    </w:pPr>
    <w:rPr>
      <w:rFonts w:eastAsia="Times New Roman" w:cs="Times New Roman"/>
      <w:color w:val="808080" w:themeColor="background1" w:themeShade="80"/>
      <w:sz w:val="18"/>
      <w:szCs w:val="72"/>
      <w:lang w:bidi="en-US"/>
    </w:rPr>
  </w:style>
  <w:style w:type="paragraph" w:customStyle="1" w:styleId="Footer-PageNumber">
    <w:name w:val="Footer - Page Number"/>
    <w:basedOn w:val="Footer"/>
    <w:next w:val="Footer-Title0"/>
    <w:link w:val="Footer-PageNumberChar"/>
    <w:autoRedefine/>
    <w:qFormat/>
    <w:rsid w:val="004774DC"/>
    <w:pPr>
      <w:jc w:val="right"/>
    </w:pPr>
    <w:rPr>
      <w:rFonts w:eastAsiaTheme="minorEastAsia"/>
      <w:b/>
      <w:color w:val="46DCDC" w:themeColor="accent1"/>
      <w:sz w:val="16"/>
      <w:szCs w:val="16"/>
      <w:lang w:bidi="en-US"/>
    </w:rPr>
  </w:style>
  <w:style w:type="paragraph" w:customStyle="1" w:styleId="Footer-Title0">
    <w:name w:val="Footer - Title"/>
    <w:basedOn w:val="Footer-PageNumber"/>
    <w:link w:val="Footer-TitleChar"/>
    <w:qFormat/>
    <w:rsid w:val="004774DC"/>
    <w:rPr>
      <w:bCs/>
      <w:caps/>
      <w:color w:val="000000" w:themeColor="text1"/>
    </w:rPr>
  </w:style>
  <w:style w:type="table" w:customStyle="1" w:styleId="ATEBTable">
    <w:name w:val="ATEB Table"/>
    <w:basedOn w:val="TableNormal"/>
    <w:uiPriority w:val="99"/>
    <w:rsid w:val="004774DC"/>
    <w:pPr>
      <w:spacing w:after="210" w:line="240" w:lineRule="auto"/>
      <w:contextualSpacing/>
    </w:pPr>
    <w:rPr>
      <w:rFonts w:ascii="Calibri" w:eastAsia="Times New Roman"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styleId="BodyText">
    <w:name w:val="Body Text"/>
    <w:basedOn w:val="Normal"/>
    <w:link w:val="BodyTextChar"/>
    <w:semiHidden/>
    <w:rsid w:val="004774DC"/>
    <w:pPr>
      <w:spacing w:after="0" w:line="240" w:lineRule="auto"/>
      <w:jc w:val="both"/>
    </w:pPr>
    <w:rPr>
      <w:rFonts w:eastAsia="Times New Roman" w:cs="Arial"/>
      <w:bCs/>
      <w:color w:val="000000" w:themeColor="text1"/>
      <w:sz w:val="24"/>
      <w:szCs w:val="32"/>
      <w:lang w:eastAsia="en-GB"/>
    </w:rPr>
  </w:style>
  <w:style w:type="character" w:customStyle="1" w:styleId="BodyTextChar">
    <w:name w:val="Body Text Char"/>
    <w:basedOn w:val="DefaultParagraphFont"/>
    <w:link w:val="BodyText"/>
    <w:semiHidden/>
    <w:rsid w:val="004774DC"/>
    <w:rPr>
      <w:rFonts w:ascii="Arial" w:eastAsia="Times New Roman" w:hAnsi="Arial" w:cs="Arial"/>
      <w:bCs/>
      <w:color w:val="000000" w:themeColor="text1"/>
      <w:sz w:val="24"/>
      <w:szCs w:val="32"/>
      <w:lang w:eastAsia="en-GB"/>
    </w:rPr>
  </w:style>
  <w:style w:type="paragraph" w:styleId="BodyText2">
    <w:name w:val="Body Text 2"/>
    <w:basedOn w:val="Normal"/>
    <w:link w:val="BodyText2Char"/>
    <w:semiHidden/>
    <w:rsid w:val="004774DC"/>
    <w:pPr>
      <w:spacing w:after="0" w:line="240" w:lineRule="auto"/>
      <w:jc w:val="both"/>
    </w:pPr>
    <w:rPr>
      <w:rFonts w:eastAsia="Times New Roman" w:cs="Arial"/>
      <w:color w:val="FF0000"/>
      <w:sz w:val="24"/>
      <w:szCs w:val="24"/>
      <w:lang w:eastAsia="en-GB"/>
    </w:rPr>
  </w:style>
  <w:style w:type="character" w:customStyle="1" w:styleId="BodyText2Char">
    <w:name w:val="Body Text 2 Char"/>
    <w:basedOn w:val="DefaultParagraphFont"/>
    <w:link w:val="BodyText2"/>
    <w:semiHidden/>
    <w:rsid w:val="004774DC"/>
    <w:rPr>
      <w:rFonts w:ascii="Arial" w:eastAsia="Times New Roman" w:hAnsi="Arial" w:cs="Arial"/>
      <w:color w:val="FF0000"/>
      <w:sz w:val="24"/>
      <w:szCs w:val="24"/>
      <w:lang w:eastAsia="en-GB"/>
    </w:rPr>
  </w:style>
  <w:style w:type="paragraph" w:styleId="BodyText3">
    <w:name w:val="Body Text 3"/>
    <w:basedOn w:val="Normal"/>
    <w:link w:val="BodyText3Char"/>
    <w:semiHidden/>
    <w:rsid w:val="004774DC"/>
    <w:pPr>
      <w:spacing w:after="120" w:line="240" w:lineRule="auto"/>
    </w:pPr>
    <w:rPr>
      <w:rFonts w:ascii="Times New Roman" w:eastAsia="Times New Roman" w:hAnsi="Times New Roman" w:cs="Times New Roman"/>
      <w:color w:val="000000" w:themeColor="text1"/>
      <w:sz w:val="16"/>
      <w:szCs w:val="16"/>
      <w:lang w:eastAsia="en-GB"/>
    </w:rPr>
  </w:style>
  <w:style w:type="character" w:customStyle="1" w:styleId="BodyText3Char">
    <w:name w:val="Body Text 3 Char"/>
    <w:basedOn w:val="DefaultParagraphFont"/>
    <w:link w:val="BodyText3"/>
    <w:semiHidden/>
    <w:rsid w:val="004774DC"/>
    <w:rPr>
      <w:rFonts w:ascii="Times New Roman" w:eastAsia="Times New Roman" w:hAnsi="Times New Roman" w:cs="Times New Roman"/>
      <w:color w:val="000000" w:themeColor="text1"/>
      <w:sz w:val="16"/>
      <w:szCs w:val="16"/>
      <w:lang w:eastAsia="en-GB"/>
    </w:rPr>
  </w:style>
  <w:style w:type="paragraph" w:styleId="BodyTextIndent">
    <w:name w:val="Body Text Indent"/>
    <w:basedOn w:val="Normal"/>
    <w:link w:val="BodyTextIndentChar"/>
    <w:semiHidden/>
    <w:rsid w:val="004774DC"/>
    <w:pPr>
      <w:spacing w:after="0" w:line="240" w:lineRule="auto"/>
      <w:ind w:left="720" w:hanging="720"/>
    </w:pPr>
    <w:rPr>
      <w:rFonts w:ascii="Tahoma" w:eastAsia="Times New Roman" w:hAnsi="Tahoma" w:cs="Tahoma"/>
      <w:color w:val="000000" w:themeColor="text1"/>
      <w:sz w:val="24"/>
      <w:szCs w:val="24"/>
    </w:rPr>
  </w:style>
  <w:style w:type="character" w:customStyle="1" w:styleId="BodyTextIndentChar">
    <w:name w:val="Body Text Indent Char"/>
    <w:basedOn w:val="DefaultParagraphFont"/>
    <w:link w:val="BodyTextIndent"/>
    <w:semiHidden/>
    <w:rsid w:val="004774DC"/>
    <w:rPr>
      <w:rFonts w:ascii="Tahoma" w:eastAsia="Times New Roman" w:hAnsi="Tahoma" w:cs="Tahoma"/>
      <w:color w:val="000000" w:themeColor="text1"/>
      <w:sz w:val="24"/>
      <w:szCs w:val="24"/>
    </w:rPr>
  </w:style>
  <w:style w:type="paragraph" w:customStyle="1" w:styleId="Footer-SubTitle">
    <w:name w:val="Footer - Sub Title"/>
    <w:basedOn w:val="Footer-PageNumber"/>
    <w:link w:val="Footer-SubTitleChar"/>
    <w:autoRedefine/>
    <w:qFormat/>
    <w:rsid w:val="004774DC"/>
    <w:rPr>
      <w:lang w:eastAsia="en-GB"/>
    </w:rPr>
  </w:style>
  <w:style w:type="character" w:customStyle="1" w:styleId="Footer-PageNumberChar">
    <w:name w:val="Footer - Page Number Char"/>
    <w:basedOn w:val="FooterChar"/>
    <w:link w:val="Footer-PageNumber"/>
    <w:rsid w:val="004774DC"/>
    <w:rPr>
      <w:rFonts w:ascii="Arial" w:eastAsiaTheme="minorEastAsia" w:hAnsi="Arial"/>
      <w:b/>
      <w:color w:val="46DCDC" w:themeColor="accent1"/>
      <w:sz w:val="16"/>
      <w:szCs w:val="16"/>
      <w:lang w:bidi="en-US"/>
    </w:rPr>
  </w:style>
  <w:style w:type="paragraph" w:styleId="NormalWeb">
    <w:name w:val="Normal (Web)"/>
    <w:basedOn w:val="Normal"/>
    <w:uiPriority w:val="99"/>
    <w:unhideWhenUsed/>
    <w:rsid w:val="004774DC"/>
    <w:pPr>
      <w:spacing w:before="100" w:beforeAutospacing="1" w:after="100" w:afterAutospacing="1" w:line="240" w:lineRule="auto"/>
    </w:pPr>
    <w:rPr>
      <w:rFonts w:ascii="Times New Roman" w:eastAsia="Times New Roman" w:hAnsi="Times New Roman" w:cs="Times New Roman"/>
      <w:color w:val="000000" w:themeColor="text1"/>
      <w:sz w:val="24"/>
      <w:szCs w:val="24"/>
      <w:lang w:eastAsia="en-GB"/>
    </w:rPr>
  </w:style>
  <w:style w:type="character" w:customStyle="1" w:styleId="Footer-SubTitleChar">
    <w:name w:val="Footer - Sub Title Char"/>
    <w:basedOn w:val="Footer-PageNumberChar"/>
    <w:link w:val="Footer-SubTitle"/>
    <w:rsid w:val="004774DC"/>
    <w:rPr>
      <w:rFonts w:ascii="Arial" w:eastAsiaTheme="minorEastAsia" w:hAnsi="Arial"/>
      <w:b/>
      <w:color w:val="46DCDC" w:themeColor="accent1"/>
      <w:sz w:val="16"/>
      <w:szCs w:val="16"/>
      <w:lang w:eastAsia="en-GB" w:bidi="en-US"/>
    </w:rPr>
  </w:style>
  <w:style w:type="character" w:customStyle="1" w:styleId="Footer-TitleChar">
    <w:name w:val="Footer - Title Char"/>
    <w:basedOn w:val="Footer-PageNumberChar"/>
    <w:link w:val="Footer-Title0"/>
    <w:rsid w:val="004774DC"/>
    <w:rPr>
      <w:rFonts w:ascii="Arial" w:eastAsiaTheme="minorEastAsia" w:hAnsi="Arial"/>
      <w:b/>
      <w:bCs/>
      <w:caps/>
      <w:color w:val="000000" w:themeColor="text1"/>
      <w:sz w:val="16"/>
      <w:szCs w:val="16"/>
      <w:lang w:bidi="en-US"/>
    </w:rPr>
  </w:style>
  <w:style w:type="character" w:styleId="FollowedHyperlink">
    <w:name w:val="FollowedHyperlink"/>
    <w:basedOn w:val="DefaultParagraphFont"/>
    <w:uiPriority w:val="99"/>
    <w:semiHidden/>
    <w:unhideWhenUsed/>
    <w:rsid w:val="004774DC"/>
    <w:rPr>
      <w:color w:val="954F72" w:themeColor="followedHyperlink"/>
      <w:u w:val="single"/>
    </w:rPr>
  </w:style>
  <w:style w:type="paragraph" w:styleId="ListBullet">
    <w:name w:val="List Bullet"/>
    <w:basedOn w:val="Normal"/>
    <w:next w:val="Normal"/>
    <w:autoRedefine/>
    <w:uiPriority w:val="99"/>
    <w:unhideWhenUsed/>
    <w:qFormat/>
    <w:rsid w:val="003F5EA7"/>
    <w:pPr>
      <w:numPr>
        <w:numId w:val="15"/>
      </w:numPr>
      <w:spacing w:after="210" w:line="264" w:lineRule="auto"/>
      <w:contextualSpacing/>
    </w:pPr>
    <w:rPr>
      <w:rFonts w:eastAsia="Times New Roman" w:cs="Arial"/>
      <w:color w:val="000000" w:themeColor="text1"/>
      <w:szCs w:val="20"/>
      <w:lang w:bidi="en-US"/>
    </w:rPr>
  </w:style>
  <w:style w:type="paragraph" w:styleId="ListNumber">
    <w:name w:val="List Number"/>
    <w:basedOn w:val="ListBullet"/>
    <w:next w:val="Normal"/>
    <w:uiPriority w:val="99"/>
    <w:unhideWhenUsed/>
    <w:qFormat/>
    <w:rsid w:val="004774DC"/>
    <w:pPr>
      <w:numPr>
        <w:numId w:val="16"/>
      </w:numPr>
    </w:pPr>
  </w:style>
  <w:style w:type="character" w:customStyle="1" w:styleId="UnresolvedMention1">
    <w:name w:val="Unresolved Mention1"/>
    <w:basedOn w:val="DefaultParagraphFont"/>
    <w:uiPriority w:val="99"/>
    <w:semiHidden/>
    <w:unhideWhenUsed/>
    <w:rsid w:val="004774DC"/>
    <w:rPr>
      <w:color w:val="605E5C"/>
      <w:shd w:val="clear" w:color="auto" w:fill="E1DFDD"/>
    </w:rPr>
  </w:style>
  <w:style w:type="table" w:customStyle="1" w:styleId="GridTable5Dark-Accent11">
    <w:name w:val="Grid Table 5 Dark - Accent 11"/>
    <w:basedOn w:val="TableNormal"/>
    <w:uiPriority w:val="50"/>
    <w:rsid w:val="004774DC"/>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DCD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DCD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DCD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DCDC" w:themeFill="accent1"/>
      </w:tcPr>
    </w:tblStylePr>
    <w:tblStylePr w:type="band1Vert">
      <w:tblPr/>
      <w:tcPr>
        <w:shd w:val="clear" w:color="auto" w:fill="B5F1F1" w:themeFill="accent1" w:themeFillTint="66"/>
      </w:tcPr>
    </w:tblStylePr>
    <w:tblStylePr w:type="band1Horz">
      <w:tblPr/>
      <w:tcPr>
        <w:shd w:val="clear" w:color="auto" w:fill="B5F1F1" w:themeFill="accent1" w:themeFillTint="66"/>
      </w:tcPr>
    </w:tblStylePr>
  </w:style>
  <w:style w:type="paragraph" w:customStyle="1" w:styleId="Header-Classification">
    <w:name w:val="Header - Classification"/>
    <w:basedOn w:val="Header-Copyright"/>
    <w:link w:val="Header-ClassificationChar"/>
    <w:qFormat/>
    <w:rsid w:val="004774DC"/>
    <w:rPr>
      <w:b/>
      <w:bCs/>
      <w:color w:val="46DCDC" w:themeColor="accent1"/>
      <w:sz w:val="16"/>
    </w:rPr>
  </w:style>
  <w:style w:type="character" w:customStyle="1" w:styleId="Header-CopyrightChar">
    <w:name w:val="Header - Copyright Char"/>
    <w:basedOn w:val="DefaultParagraphFont"/>
    <w:link w:val="Header-Copyright"/>
    <w:rsid w:val="004774DC"/>
    <w:rPr>
      <w:rFonts w:ascii="Arial" w:eastAsia="Times New Roman" w:hAnsi="Arial" w:cs="Times New Roman"/>
      <w:color w:val="808080" w:themeColor="background1" w:themeShade="80"/>
      <w:sz w:val="18"/>
      <w:szCs w:val="72"/>
      <w:lang w:bidi="en-US"/>
    </w:rPr>
  </w:style>
  <w:style w:type="character" w:customStyle="1" w:styleId="Header-ClassificationChar">
    <w:name w:val="Header - Classification Char"/>
    <w:basedOn w:val="Header-CopyrightChar"/>
    <w:link w:val="Header-Classification"/>
    <w:rsid w:val="004774DC"/>
    <w:rPr>
      <w:rFonts w:ascii="Arial" w:eastAsia="Times New Roman" w:hAnsi="Arial" w:cs="Times New Roman"/>
      <w:b/>
      <w:bCs/>
      <w:color w:val="46DCDC" w:themeColor="accent1"/>
      <w:sz w:val="16"/>
      <w:szCs w:val="72"/>
      <w:lang w:bidi="en-US"/>
    </w:rPr>
  </w:style>
  <w:style w:type="paragraph" w:customStyle="1" w:styleId="Table-HeaderRow">
    <w:name w:val="Table - Header Row"/>
    <w:basedOn w:val="Normal"/>
    <w:qFormat/>
    <w:rsid w:val="004774DC"/>
    <w:pPr>
      <w:spacing w:after="0" w:line="240" w:lineRule="auto"/>
      <w:contextualSpacing/>
      <w:jc w:val="center"/>
    </w:pPr>
    <w:rPr>
      <w:rFonts w:eastAsia="Times New Roman" w:cs="Times New Roman"/>
      <w:b/>
      <w:caps/>
      <w:color w:val="FFFFFF" w:themeColor="background1"/>
      <w:sz w:val="18"/>
      <w:lang w:bidi="en-US"/>
    </w:rPr>
  </w:style>
  <w:style w:type="paragraph" w:customStyle="1" w:styleId="CoverPage-Details">
    <w:name w:val="Cover Page - Details"/>
    <w:basedOn w:val="NoSpacing"/>
    <w:qFormat/>
    <w:rsid w:val="004774DC"/>
    <w:pPr>
      <w:framePr w:hSpace="187" w:wrap="around" w:vAnchor="page" w:hAnchor="margin" w:xAlign="right" w:y="5654"/>
      <w:ind w:left="-472"/>
    </w:pPr>
    <w:rPr>
      <w:color w:val="767171" w:themeColor="background2" w:themeShade="80"/>
      <w:sz w:val="18"/>
      <w:lang w:val="en-GB" w:bidi="en-US"/>
    </w:rPr>
  </w:style>
  <w:style w:type="character" w:styleId="PlaceholderText">
    <w:name w:val="Placeholder Text"/>
    <w:basedOn w:val="DefaultParagraphFont"/>
    <w:uiPriority w:val="99"/>
    <w:semiHidden/>
    <w:rsid w:val="004774DC"/>
    <w:rPr>
      <w:color w:val="808080"/>
    </w:rPr>
  </w:style>
  <w:style w:type="paragraph" w:customStyle="1" w:styleId="Table-FirstColumn">
    <w:name w:val="Table - First Column"/>
    <w:basedOn w:val="Table-HeaderRow"/>
    <w:qFormat/>
    <w:rsid w:val="004774DC"/>
    <w:pPr>
      <w:jc w:val="left"/>
    </w:pPr>
    <w:rPr>
      <w:caps w:val="0"/>
      <w:color w:val="46DCDC" w:themeColor="accent1"/>
    </w:rPr>
  </w:style>
  <w:style w:type="table" w:customStyle="1" w:styleId="ATEBTable2">
    <w:name w:val="ATEB Table 2"/>
    <w:basedOn w:val="ATEBTable"/>
    <w:uiPriority w:val="99"/>
    <w:rsid w:val="004774DC"/>
    <w:tblPr>
      <w:tblStyleColBandSize w:val="1"/>
    </w:tbl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Memo-TitleBody">
    <w:name w:val="Memo - Title (Body)"/>
    <w:qFormat/>
    <w:rsid w:val="004774DC"/>
    <w:pPr>
      <w:spacing w:after="0" w:line="240" w:lineRule="auto"/>
      <w:jc w:val="right"/>
    </w:pPr>
    <w:rPr>
      <w:rFonts w:ascii="Arial" w:eastAsia="Times New Roman" w:hAnsi="Arial" w:cs="Times New Roman"/>
      <w:b/>
      <w:bCs/>
      <w:caps/>
      <w:color w:val="000000" w:themeColor="text1"/>
      <w:sz w:val="20"/>
      <w:szCs w:val="20"/>
      <w:lang w:bidi="en-US"/>
    </w:rPr>
  </w:style>
  <w:style w:type="paragraph" w:customStyle="1" w:styleId="Memo-TitleHeader">
    <w:name w:val="Memo - Title (Header)"/>
    <w:basedOn w:val="Header-Copyright"/>
    <w:link w:val="Memo-TitleHeaderChar"/>
    <w:qFormat/>
    <w:rsid w:val="004774DC"/>
    <w:rPr>
      <w:b/>
      <w:caps/>
      <w:color w:val="46DCDC" w:themeColor="accent1"/>
      <w:sz w:val="52"/>
      <w:szCs w:val="52"/>
    </w:rPr>
  </w:style>
  <w:style w:type="character" w:customStyle="1" w:styleId="Memo-TitleHeaderChar">
    <w:name w:val="Memo - Title (Header) Char"/>
    <w:basedOn w:val="Header-CopyrightChar"/>
    <w:link w:val="Memo-TitleHeader"/>
    <w:rsid w:val="004774DC"/>
    <w:rPr>
      <w:rFonts w:ascii="Arial" w:eastAsia="Times New Roman" w:hAnsi="Arial" w:cs="Times New Roman"/>
      <w:b/>
      <w:caps/>
      <w:color w:val="46DCDC" w:themeColor="accent1"/>
      <w:sz w:val="52"/>
      <w:szCs w:val="52"/>
      <w:lang w:bidi="en-US"/>
    </w:rPr>
  </w:style>
  <w:style w:type="table" w:customStyle="1" w:styleId="PlainTable41">
    <w:name w:val="Plain Table 41"/>
    <w:basedOn w:val="TableNormal"/>
    <w:uiPriority w:val="44"/>
    <w:rsid w:val="004774DC"/>
    <w:pPr>
      <w:spacing w:after="0" w:line="240" w:lineRule="auto"/>
    </w:pPr>
    <w:rPr>
      <w:rFonts w:ascii="Calibri" w:eastAsia="Times New Roman"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2-FirstColumn">
    <w:name w:val="Table 2 - First Column"/>
    <w:basedOn w:val="Table-FirstColumn"/>
    <w:qFormat/>
    <w:rsid w:val="004774DC"/>
    <w:rPr>
      <w:caps/>
      <w:color w:val="FFFFFF" w:themeColor="background1"/>
      <w:lang w:val="en-US"/>
    </w:rPr>
  </w:style>
  <w:style w:type="table" w:customStyle="1" w:styleId="ATEBTableChunky">
    <w:name w:val="ATEB Table (Chunky)"/>
    <w:basedOn w:val="ATEBTable"/>
    <w:uiPriority w:val="99"/>
    <w:rsid w:val="004774DC"/>
    <w:tblPr>
      <w:tblCellMar>
        <w:top w:w="170" w:type="dxa"/>
        <w:left w:w="170" w:type="dxa"/>
        <w:bottom w:w="170" w:type="dxa"/>
        <w:right w:w="170" w:type="dxa"/>
      </w:tblCellMar>
    </w:tbl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TableGrid1">
    <w:name w:val="Table Grid1"/>
    <w:basedOn w:val="TableNormal"/>
    <w:next w:val="TableGrid"/>
    <w:uiPriority w:val="59"/>
    <w:rsid w:val="004774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6">
    <w:name w:val="Normal (Web)16"/>
    <w:basedOn w:val="Normal"/>
    <w:rsid w:val="004774DC"/>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TableHeaderRow">
    <w:name w:val="Table Header Row"/>
    <w:basedOn w:val="Normal"/>
    <w:qFormat/>
    <w:rsid w:val="004774DC"/>
    <w:pPr>
      <w:spacing w:after="0" w:line="240" w:lineRule="auto"/>
      <w:contextualSpacing/>
      <w:jc w:val="center"/>
    </w:pPr>
    <w:rPr>
      <w:rFonts w:eastAsia="Times New Roman" w:cs="Times New Roman"/>
      <w:b/>
      <w:color w:val="FFFFFF" w:themeColor="background1"/>
      <w:lang w:bidi="en-US"/>
    </w:rPr>
  </w:style>
  <w:style w:type="paragraph" w:customStyle="1" w:styleId="subpara2">
    <w:name w:val="subpara2"/>
    <w:basedOn w:val="Normal"/>
    <w:rsid w:val="00477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para1">
    <w:name w:val="subpara1"/>
    <w:basedOn w:val="Normal"/>
    <w:rsid w:val="00477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774DC"/>
    <w:pPr>
      <w:spacing w:after="0" w:line="240" w:lineRule="auto"/>
    </w:pPr>
    <w:rPr>
      <w:rFonts w:ascii="Rockwell Light" w:eastAsia="Times New Roman" w:hAnsi="Rockwell Light" w:cs="Times New Roman"/>
      <w:color w:val="000000" w:themeColor="text1"/>
      <w:sz w:val="20"/>
      <w:lang w:bidi="en-US"/>
    </w:rPr>
  </w:style>
  <w:style w:type="table" w:styleId="ListTable1Light-Accent1">
    <w:name w:val="List Table 1 Light Accent 1"/>
    <w:basedOn w:val="TableNormal"/>
    <w:uiPriority w:val="46"/>
    <w:rsid w:val="006E0427"/>
    <w:pPr>
      <w:spacing w:after="0" w:line="240" w:lineRule="auto"/>
    </w:pPr>
    <w:tblPr>
      <w:tblStyleRowBandSize w:val="1"/>
      <w:tblStyleColBandSize w:val="1"/>
    </w:tblPr>
    <w:tblStylePr w:type="firstRow">
      <w:rPr>
        <w:b/>
        <w:bCs/>
      </w:rPr>
      <w:tblPr/>
      <w:tcPr>
        <w:tcBorders>
          <w:bottom w:val="single" w:sz="4" w:space="0" w:color="90EAEA" w:themeColor="accent1" w:themeTint="99"/>
        </w:tcBorders>
      </w:tcPr>
    </w:tblStylePr>
    <w:tblStylePr w:type="lastRow">
      <w:rPr>
        <w:b/>
        <w:bCs/>
      </w:rPr>
      <w:tblPr/>
      <w:tcPr>
        <w:tcBorders>
          <w:top w:val="single" w:sz="4" w:space="0" w:color="90EAEA" w:themeColor="accent1" w:themeTint="99"/>
        </w:tcBorders>
      </w:tcPr>
    </w:tblStylePr>
    <w:tblStylePr w:type="firstCol">
      <w:rPr>
        <w:b/>
        <w:bCs/>
      </w:rPr>
    </w:tblStylePr>
    <w:tblStylePr w:type="lastCol">
      <w:rPr>
        <w:b/>
        <w:bCs/>
      </w:rPr>
    </w:tblStylePr>
    <w:tblStylePr w:type="band1Vert">
      <w:tblPr/>
      <w:tcPr>
        <w:shd w:val="clear" w:color="auto" w:fill="DAF8F8" w:themeFill="accent1" w:themeFillTint="33"/>
      </w:tcPr>
    </w:tblStylePr>
    <w:tblStylePr w:type="band1Horz">
      <w:tblPr/>
      <w:tcPr>
        <w:shd w:val="clear" w:color="auto" w:fill="DAF8F8" w:themeFill="accent1" w:themeFillTint="33"/>
      </w:tcPr>
    </w:tblStylePr>
  </w:style>
  <w:style w:type="paragraph" w:customStyle="1" w:styleId="10MainText">
    <w:name w:val="1.0 Main Text"/>
    <w:basedOn w:val="Normal"/>
    <w:link w:val="10MainTextChar"/>
    <w:qFormat/>
    <w:rsid w:val="00B27ED5"/>
    <w:pPr>
      <w:spacing w:before="120" w:after="120" w:line="240" w:lineRule="auto"/>
    </w:pPr>
    <w:rPr>
      <w:rFonts w:ascii="Calibri" w:eastAsia="Calibri" w:hAnsi="Calibri" w:cs="Times New Roman"/>
      <w:color w:val="000000" w:themeColor="text1"/>
      <w:sz w:val="22"/>
      <w:lang w:val="en" w:eastAsia="en-GB"/>
    </w:rPr>
  </w:style>
  <w:style w:type="character" w:customStyle="1" w:styleId="10MainTextChar">
    <w:name w:val="1.0 Main Text Char"/>
    <w:basedOn w:val="DefaultParagraphFont"/>
    <w:link w:val="10MainText"/>
    <w:rsid w:val="00B27ED5"/>
    <w:rPr>
      <w:rFonts w:ascii="Calibri" w:eastAsia="Calibri" w:hAnsi="Calibri" w:cs="Times New Roman"/>
      <w:color w:val="000000" w:themeColor="text1"/>
      <w:lang w:val="en" w:eastAsia="en-GB"/>
    </w:rPr>
  </w:style>
  <w:style w:type="table" w:styleId="GridTable1Light-Accent1">
    <w:name w:val="Grid Table 1 Light Accent 1"/>
    <w:basedOn w:val="TableNormal"/>
    <w:uiPriority w:val="46"/>
    <w:rsid w:val="00B27ED5"/>
    <w:pPr>
      <w:spacing w:before="120" w:after="0" w:line="240" w:lineRule="auto"/>
    </w:pPr>
    <w:rPr>
      <w:rFonts w:ascii="Calibri" w:hAnsi="Calibri"/>
      <w:color w:val="46DCDC" w:themeColor="accent1"/>
    </w:rPr>
    <w:tblPr>
      <w:tblStyleRowBandSize w:val="1"/>
      <w:tblStyleColBandSize w:val="1"/>
    </w:tblPr>
    <w:tblStylePr w:type="firstRow">
      <w:rPr>
        <w:b/>
        <w:bCs/>
      </w:rPr>
      <w:tblPr/>
      <w:tcPr>
        <w:tcBorders>
          <w:bottom w:val="single" w:sz="12" w:space="0" w:color="90EAEA" w:themeColor="accent1" w:themeTint="99"/>
        </w:tcBorders>
      </w:tcPr>
    </w:tblStylePr>
    <w:tblStylePr w:type="lastRow">
      <w:rPr>
        <w:b/>
        <w:bCs/>
      </w:rPr>
      <w:tblPr/>
      <w:tcPr>
        <w:tcBorders>
          <w:top w:val="double" w:sz="2" w:space="0" w:color="90EAEA" w:themeColor="accent1"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rsid w:val="00B27ED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587">
      <w:bodyDiv w:val="1"/>
      <w:marLeft w:val="0"/>
      <w:marRight w:val="0"/>
      <w:marTop w:val="0"/>
      <w:marBottom w:val="0"/>
      <w:divBdr>
        <w:top w:val="none" w:sz="0" w:space="0" w:color="auto"/>
        <w:left w:val="none" w:sz="0" w:space="0" w:color="auto"/>
        <w:bottom w:val="none" w:sz="0" w:space="0" w:color="auto"/>
        <w:right w:val="none" w:sz="0" w:space="0" w:color="auto"/>
      </w:divBdr>
    </w:div>
    <w:div w:id="21639262">
      <w:bodyDiv w:val="1"/>
      <w:marLeft w:val="0"/>
      <w:marRight w:val="0"/>
      <w:marTop w:val="0"/>
      <w:marBottom w:val="0"/>
      <w:divBdr>
        <w:top w:val="none" w:sz="0" w:space="0" w:color="auto"/>
        <w:left w:val="none" w:sz="0" w:space="0" w:color="auto"/>
        <w:bottom w:val="none" w:sz="0" w:space="0" w:color="auto"/>
        <w:right w:val="none" w:sz="0" w:space="0" w:color="auto"/>
      </w:divBdr>
    </w:div>
    <w:div w:id="25641997">
      <w:bodyDiv w:val="1"/>
      <w:marLeft w:val="0"/>
      <w:marRight w:val="0"/>
      <w:marTop w:val="0"/>
      <w:marBottom w:val="0"/>
      <w:divBdr>
        <w:top w:val="none" w:sz="0" w:space="0" w:color="auto"/>
        <w:left w:val="none" w:sz="0" w:space="0" w:color="auto"/>
        <w:bottom w:val="none" w:sz="0" w:space="0" w:color="auto"/>
        <w:right w:val="none" w:sz="0" w:space="0" w:color="auto"/>
      </w:divBdr>
    </w:div>
    <w:div w:id="28720815">
      <w:bodyDiv w:val="1"/>
      <w:marLeft w:val="0"/>
      <w:marRight w:val="0"/>
      <w:marTop w:val="0"/>
      <w:marBottom w:val="0"/>
      <w:divBdr>
        <w:top w:val="none" w:sz="0" w:space="0" w:color="auto"/>
        <w:left w:val="none" w:sz="0" w:space="0" w:color="auto"/>
        <w:bottom w:val="none" w:sz="0" w:space="0" w:color="auto"/>
        <w:right w:val="none" w:sz="0" w:space="0" w:color="auto"/>
      </w:divBdr>
    </w:div>
    <w:div w:id="49886606">
      <w:bodyDiv w:val="1"/>
      <w:marLeft w:val="0"/>
      <w:marRight w:val="0"/>
      <w:marTop w:val="0"/>
      <w:marBottom w:val="0"/>
      <w:divBdr>
        <w:top w:val="none" w:sz="0" w:space="0" w:color="auto"/>
        <w:left w:val="none" w:sz="0" w:space="0" w:color="auto"/>
        <w:bottom w:val="none" w:sz="0" w:space="0" w:color="auto"/>
        <w:right w:val="none" w:sz="0" w:space="0" w:color="auto"/>
      </w:divBdr>
    </w:div>
    <w:div w:id="75325256">
      <w:bodyDiv w:val="1"/>
      <w:marLeft w:val="0"/>
      <w:marRight w:val="0"/>
      <w:marTop w:val="0"/>
      <w:marBottom w:val="0"/>
      <w:divBdr>
        <w:top w:val="none" w:sz="0" w:space="0" w:color="auto"/>
        <w:left w:val="none" w:sz="0" w:space="0" w:color="auto"/>
        <w:bottom w:val="none" w:sz="0" w:space="0" w:color="auto"/>
        <w:right w:val="none" w:sz="0" w:space="0" w:color="auto"/>
      </w:divBdr>
    </w:div>
    <w:div w:id="93598548">
      <w:bodyDiv w:val="1"/>
      <w:marLeft w:val="0"/>
      <w:marRight w:val="0"/>
      <w:marTop w:val="0"/>
      <w:marBottom w:val="0"/>
      <w:divBdr>
        <w:top w:val="none" w:sz="0" w:space="0" w:color="auto"/>
        <w:left w:val="none" w:sz="0" w:space="0" w:color="auto"/>
        <w:bottom w:val="none" w:sz="0" w:space="0" w:color="auto"/>
        <w:right w:val="none" w:sz="0" w:space="0" w:color="auto"/>
      </w:divBdr>
    </w:div>
    <w:div w:id="111823209">
      <w:bodyDiv w:val="1"/>
      <w:marLeft w:val="0"/>
      <w:marRight w:val="0"/>
      <w:marTop w:val="0"/>
      <w:marBottom w:val="0"/>
      <w:divBdr>
        <w:top w:val="none" w:sz="0" w:space="0" w:color="auto"/>
        <w:left w:val="none" w:sz="0" w:space="0" w:color="auto"/>
        <w:bottom w:val="none" w:sz="0" w:space="0" w:color="auto"/>
        <w:right w:val="none" w:sz="0" w:space="0" w:color="auto"/>
      </w:divBdr>
    </w:div>
    <w:div w:id="133300239">
      <w:bodyDiv w:val="1"/>
      <w:marLeft w:val="0"/>
      <w:marRight w:val="0"/>
      <w:marTop w:val="0"/>
      <w:marBottom w:val="0"/>
      <w:divBdr>
        <w:top w:val="none" w:sz="0" w:space="0" w:color="auto"/>
        <w:left w:val="none" w:sz="0" w:space="0" w:color="auto"/>
        <w:bottom w:val="none" w:sz="0" w:space="0" w:color="auto"/>
        <w:right w:val="none" w:sz="0" w:space="0" w:color="auto"/>
      </w:divBdr>
    </w:div>
    <w:div w:id="170073603">
      <w:bodyDiv w:val="1"/>
      <w:marLeft w:val="0"/>
      <w:marRight w:val="0"/>
      <w:marTop w:val="0"/>
      <w:marBottom w:val="0"/>
      <w:divBdr>
        <w:top w:val="none" w:sz="0" w:space="0" w:color="auto"/>
        <w:left w:val="none" w:sz="0" w:space="0" w:color="auto"/>
        <w:bottom w:val="none" w:sz="0" w:space="0" w:color="auto"/>
        <w:right w:val="none" w:sz="0" w:space="0" w:color="auto"/>
      </w:divBdr>
    </w:div>
    <w:div w:id="191043410">
      <w:bodyDiv w:val="1"/>
      <w:marLeft w:val="0"/>
      <w:marRight w:val="0"/>
      <w:marTop w:val="0"/>
      <w:marBottom w:val="0"/>
      <w:divBdr>
        <w:top w:val="none" w:sz="0" w:space="0" w:color="auto"/>
        <w:left w:val="none" w:sz="0" w:space="0" w:color="auto"/>
        <w:bottom w:val="none" w:sz="0" w:space="0" w:color="auto"/>
        <w:right w:val="none" w:sz="0" w:space="0" w:color="auto"/>
      </w:divBdr>
    </w:div>
    <w:div w:id="191306542">
      <w:bodyDiv w:val="1"/>
      <w:marLeft w:val="0"/>
      <w:marRight w:val="0"/>
      <w:marTop w:val="0"/>
      <w:marBottom w:val="0"/>
      <w:divBdr>
        <w:top w:val="none" w:sz="0" w:space="0" w:color="auto"/>
        <w:left w:val="none" w:sz="0" w:space="0" w:color="auto"/>
        <w:bottom w:val="none" w:sz="0" w:space="0" w:color="auto"/>
        <w:right w:val="none" w:sz="0" w:space="0" w:color="auto"/>
      </w:divBdr>
    </w:div>
    <w:div w:id="221062258">
      <w:bodyDiv w:val="1"/>
      <w:marLeft w:val="0"/>
      <w:marRight w:val="0"/>
      <w:marTop w:val="0"/>
      <w:marBottom w:val="0"/>
      <w:divBdr>
        <w:top w:val="none" w:sz="0" w:space="0" w:color="auto"/>
        <w:left w:val="none" w:sz="0" w:space="0" w:color="auto"/>
        <w:bottom w:val="none" w:sz="0" w:space="0" w:color="auto"/>
        <w:right w:val="none" w:sz="0" w:space="0" w:color="auto"/>
      </w:divBdr>
    </w:div>
    <w:div w:id="228614076">
      <w:bodyDiv w:val="1"/>
      <w:marLeft w:val="0"/>
      <w:marRight w:val="0"/>
      <w:marTop w:val="0"/>
      <w:marBottom w:val="0"/>
      <w:divBdr>
        <w:top w:val="none" w:sz="0" w:space="0" w:color="auto"/>
        <w:left w:val="none" w:sz="0" w:space="0" w:color="auto"/>
        <w:bottom w:val="none" w:sz="0" w:space="0" w:color="auto"/>
        <w:right w:val="none" w:sz="0" w:space="0" w:color="auto"/>
      </w:divBdr>
    </w:div>
    <w:div w:id="231741634">
      <w:bodyDiv w:val="1"/>
      <w:marLeft w:val="0"/>
      <w:marRight w:val="0"/>
      <w:marTop w:val="0"/>
      <w:marBottom w:val="0"/>
      <w:divBdr>
        <w:top w:val="none" w:sz="0" w:space="0" w:color="auto"/>
        <w:left w:val="none" w:sz="0" w:space="0" w:color="auto"/>
        <w:bottom w:val="none" w:sz="0" w:space="0" w:color="auto"/>
        <w:right w:val="none" w:sz="0" w:space="0" w:color="auto"/>
      </w:divBdr>
    </w:div>
    <w:div w:id="249583286">
      <w:bodyDiv w:val="1"/>
      <w:marLeft w:val="0"/>
      <w:marRight w:val="0"/>
      <w:marTop w:val="0"/>
      <w:marBottom w:val="0"/>
      <w:divBdr>
        <w:top w:val="none" w:sz="0" w:space="0" w:color="auto"/>
        <w:left w:val="none" w:sz="0" w:space="0" w:color="auto"/>
        <w:bottom w:val="none" w:sz="0" w:space="0" w:color="auto"/>
        <w:right w:val="none" w:sz="0" w:space="0" w:color="auto"/>
      </w:divBdr>
    </w:div>
    <w:div w:id="251359854">
      <w:bodyDiv w:val="1"/>
      <w:marLeft w:val="0"/>
      <w:marRight w:val="0"/>
      <w:marTop w:val="0"/>
      <w:marBottom w:val="0"/>
      <w:divBdr>
        <w:top w:val="none" w:sz="0" w:space="0" w:color="auto"/>
        <w:left w:val="none" w:sz="0" w:space="0" w:color="auto"/>
        <w:bottom w:val="none" w:sz="0" w:space="0" w:color="auto"/>
        <w:right w:val="none" w:sz="0" w:space="0" w:color="auto"/>
      </w:divBdr>
    </w:div>
    <w:div w:id="255214175">
      <w:bodyDiv w:val="1"/>
      <w:marLeft w:val="0"/>
      <w:marRight w:val="0"/>
      <w:marTop w:val="0"/>
      <w:marBottom w:val="0"/>
      <w:divBdr>
        <w:top w:val="none" w:sz="0" w:space="0" w:color="auto"/>
        <w:left w:val="none" w:sz="0" w:space="0" w:color="auto"/>
        <w:bottom w:val="none" w:sz="0" w:space="0" w:color="auto"/>
        <w:right w:val="none" w:sz="0" w:space="0" w:color="auto"/>
      </w:divBdr>
    </w:div>
    <w:div w:id="261575365">
      <w:bodyDiv w:val="1"/>
      <w:marLeft w:val="0"/>
      <w:marRight w:val="0"/>
      <w:marTop w:val="0"/>
      <w:marBottom w:val="0"/>
      <w:divBdr>
        <w:top w:val="none" w:sz="0" w:space="0" w:color="auto"/>
        <w:left w:val="none" w:sz="0" w:space="0" w:color="auto"/>
        <w:bottom w:val="none" w:sz="0" w:space="0" w:color="auto"/>
        <w:right w:val="none" w:sz="0" w:space="0" w:color="auto"/>
      </w:divBdr>
    </w:div>
    <w:div w:id="313343059">
      <w:bodyDiv w:val="1"/>
      <w:marLeft w:val="0"/>
      <w:marRight w:val="0"/>
      <w:marTop w:val="0"/>
      <w:marBottom w:val="0"/>
      <w:divBdr>
        <w:top w:val="none" w:sz="0" w:space="0" w:color="auto"/>
        <w:left w:val="none" w:sz="0" w:space="0" w:color="auto"/>
        <w:bottom w:val="none" w:sz="0" w:space="0" w:color="auto"/>
        <w:right w:val="none" w:sz="0" w:space="0" w:color="auto"/>
      </w:divBdr>
    </w:div>
    <w:div w:id="317341731">
      <w:bodyDiv w:val="1"/>
      <w:marLeft w:val="0"/>
      <w:marRight w:val="0"/>
      <w:marTop w:val="0"/>
      <w:marBottom w:val="0"/>
      <w:divBdr>
        <w:top w:val="none" w:sz="0" w:space="0" w:color="auto"/>
        <w:left w:val="none" w:sz="0" w:space="0" w:color="auto"/>
        <w:bottom w:val="none" w:sz="0" w:space="0" w:color="auto"/>
        <w:right w:val="none" w:sz="0" w:space="0" w:color="auto"/>
      </w:divBdr>
    </w:div>
    <w:div w:id="340208886">
      <w:bodyDiv w:val="1"/>
      <w:marLeft w:val="0"/>
      <w:marRight w:val="0"/>
      <w:marTop w:val="0"/>
      <w:marBottom w:val="0"/>
      <w:divBdr>
        <w:top w:val="none" w:sz="0" w:space="0" w:color="auto"/>
        <w:left w:val="none" w:sz="0" w:space="0" w:color="auto"/>
        <w:bottom w:val="none" w:sz="0" w:space="0" w:color="auto"/>
        <w:right w:val="none" w:sz="0" w:space="0" w:color="auto"/>
      </w:divBdr>
    </w:div>
    <w:div w:id="376123840">
      <w:bodyDiv w:val="1"/>
      <w:marLeft w:val="0"/>
      <w:marRight w:val="0"/>
      <w:marTop w:val="0"/>
      <w:marBottom w:val="0"/>
      <w:divBdr>
        <w:top w:val="none" w:sz="0" w:space="0" w:color="auto"/>
        <w:left w:val="none" w:sz="0" w:space="0" w:color="auto"/>
        <w:bottom w:val="none" w:sz="0" w:space="0" w:color="auto"/>
        <w:right w:val="none" w:sz="0" w:space="0" w:color="auto"/>
      </w:divBdr>
    </w:div>
    <w:div w:id="380790121">
      <w:bodyDiv w:val="1"/>
      <w:marLeft w:val="0"/>
      <w:marRight w:val="0"/>
      <w:marTop w:val="0"/>
      <w:marBottom w:val="0"/>
      <w:divBdr>
        <w:top w:val="none" w:sz="0" w:space="0" w:color="auto"/>
        <w:left w:val="none" w:sz="0" w:space="0" w:color="auto"/>
        <w:bottom w:val="none" w:sz="0" w:space="0" w:color="auto"/>
        <w:right w:val="none" w:sz="0" w:space="0" w:color="auto"/>
      </w:divBdr>
    </w:div>
    <w:div w:id="401566439">
      <w:bodyDiv w:val="1"/>
      <w:marLeft w:val="0"/>
      <w:marRight w:val="0"/>
      <w:marTop w:val="0"/>
      <w:marBottom w:val="0"/>
      <w:divBdr>
        <w:top w:val="none" w:sz="0" w:space="0" w:color="auto"/>
        <w:left w:val="none" w:sz="0" w:space="0" w:color="auto"/>
        <w:bottom w:val="none" w:sz="0" w:space="0" w:color="auto"/>
        <w:right w:val="none" w:sz="0" w:space="0" w:color="auto"/>
      </w:divBdr>
    </w:div>
    <w:div w:id="424233631">
      <w:bodyDiv w:val="1"/>
      <w:marLeft w:val="0"/>
      <w:marRight w:val="0"/>
      <w:marTop w:val="0"/>
      <w:marBottom w:val="0"/>
      <w:divBdr>
        <w:top w:val="none" w:sz="0" w:space="0" w:color="auto"/>
        <w:left w:val="none" w:sz="0" w:space="0" w:color="auto"/>
        <w:bottom w:val="none" w:sz="0" w:space="0" w:color="auto"/>
        <w:right w:val="none" w:sz="0" w:space="0" w:color="auto"/>
      </w:divBdr>
    </w:div>
    <w:div w:id="425738121">
      <w:bodyDiv w:val="1"/>
      <w:marLeft w:val="0"/>
      <w:marRight w:val="0"/>
      <w:marTop w:val="0"/>
      <w:marBottom w:val="0"/>
      <w:divBdr>
        <w:top w:val="none" w:sz="0" w:space="0" w:color="auto"/>
        <w:left w:val="none" w:sz="0" w:space="0" w:color="auto"/>
        <w:bottom w:val="none" w:sz="0" w:space="0" w:color="auto"/>
        <w:right w:val="none" w:sz="0" w:space="0" w:color="auto"/>
      </w:divBdr>
    </w:div>
    <w:div w:id="433132404">
      <w:bodyDiv w:val="1"/>
      <w:marLeft w:val="0"/>
      <w:marRight w:val="0"/>
      <w:marTop w:val="0"/>
      <w:marBottom w:val="0"/>
      <w:divBdr>
        <w:top w:val="none" w:sz="0" w:space="0" w:color="auto"/>
        <w:left w:val="none" w:sz="0" w:space="0" w:color="auto"/>
        <w:bottom w:val="none" w:sz="0" w:space="0" w:color="auto"/>
        <w:right w:val="none" w:sz="0" w:space="0" w:color="auto"/>
      </w:divBdr>
    </w:div>
    <w:div w:id="435180316">
      <w:bodyDiv w:val="1"/>
      <w:marLeft w:val="0"/>
      <w:marRight w:val="0"/>
      <w:marTop w:val="0"/>
      <w:marBottom w:val="0"/>
      <w:divBdr>
        <w:top w:val="none" w:sz="0" w:space="0" w:color="auto"/>
        <w:left w:val="none" w:sz="0" w:space="0" w:color="auto"/>
        <w:bottom w:val="none" w:sz="0" w:space="0" w:color="auto"/>
        <w:right w:val="none" w:sz="0" w:space="0" w:color="auto"/>
      </w:divBdr>
    </w:div>
    <w:div w:id="437146480">
      <w:bodyDiv w:val="1"/>
      <w:marLeft w:val="0"/>
      <w:marRight w:val="0"/>
      <w:marTop w:val="0"/>
      <w:marBottom w:val="0"/>
      <w:divBdr>
        <w:top w:val="none" w:sz="0" w:space="0" w:color="auto"/>
        <w:left w:val="none" w:sz="0" w:space="0" w:color="auto"/>
        <w:bottom w:val="none" w:sz="0" w:space="0" w:color="auto"/>
        <w:right w:val="none" w:sz="0" w:space="0" w:color="auto"/>
      </w:divBdr>
    </w:div>
    <w:div w:id="437263340">
      <w:bodyDiv w:val="1"/>
      <w:marLeft w:val="0"/>
      <w:marRight w:val="0"/>
      <w:marTop w:val="0"/>
      <w:marBottom w:val="0"/>
      <w:divBdr>
        <w:top w:val="none" w:sz="0" w:space="0" w:color="auto"/>
        <w:left w:val="none" w:sz="0" w:space="0" w:color="auto"/>
        <w:bottom w:val="none" w:sz="0" w:space="0" w:color="auto"/>
        <w:right w:val="none" w:sz="0" w:space="0" w:color="auto"/>
      </w:divBdr>
    </w:div>
    <w:div w:id="463235583">
      <w:bodyDiv w:val="1"/>
      <w:marLeft w:val="0"/>
      <w:marRight w:val="0"/>
      <w:marTop w:val="0"/>
      <w:marBottom w:val="0"/>
      <w:divBdr>
        <w:top w:val="none" w:sz="0" w:space="0" w:color="auto"/>
        <w:left w:val="none" w:sz="0" w:space="0" w:color="auto"/>
        <w:bottom w:val="none" w:sz="0" w:space="0" w:color="auto"/>
        <w:right w:val="none" w:sz="0" w:space="0" w:color="auto"/>
      </w:divBdr>
    </w:div>
    <w:div w:id="470024270">
      <w:bodyDiv w:val="1"/>
      <w:marLeft w:val="0"/>
      <w:marRight w:val="0"/>
      <w:marTop w:val="0"/>
      <w:marBottom w:val="0"/>
      <w:divBdr>
        <w:top w:val="none" w:sz="0" w:space="0" w:color="auto"/>
        <w:left w:val="none" w:sz="0" w:space="0" w:color="auto"/>
        <w:bottom w:val="none" w:sz="0" w:space="0" w:color="auto"/>
        <w:right w:val="none" w:sz="0" w:space="0" w:color="auto"/>
      </w:divBdr>
    </w:div>
    <w:div w:id="473106637">
      <w:bodyDiv w:val="1"/>
      <w:marLeft w:val="0"/>
      <w:marRight w:val="0"/>
      <w:marTop w:val="0"/>
      <w:marBottom w:val="0"/>
      <w:divBdr>
        <w:top w:val="none" w:sz="0" w:space="0" w:color="auto"/>
        <w:left w:val="none" w:sz="0" w:space="0" w:color="auto"/>
        <w:bottom w:val="none" w:sz="0" w:space="0" w:color="auto"/>
        <w:right w:val="none" w:sz="0" w:space="0" w:color="auto"/>
      </w:divBdr>
    </w:div>
    <w:div w:id="477384500">
      <w:bodyDiv w:val="1"/>
      <w:marLeft w:val="0"/>
      <w:marRight w:val="0"/>
      <w:marTop w:val="0"/>
      <w:marBottom w:val="0"/>
      <w:divBdr>
        <w:top w:val="none" w:sz="0" w:space="0" w:color="auto"/>
        <w:left w:val="none" w:sz="0" w:space="0" w:color="auto"/>
        <w:bottom w:val="none" w:sz="0" w:space="0" w:color="auto"/>
        <w:right w:val="none" w:sz="0" w:space="0" w:color="auto"/>
      </w:divBdr>
    </w:div>
    <w:div w:id="480971651">
      <w:bodyDiv w:val="1"/>
      <w:marLeft w:val="0"/>
      <w:marRight w:val="0"/>
      <w:marTop w:val="0"/>
      <w:marBottom w:val="0"/>
      <w:divBdr>
        <w:top w:val="none" w:sz="0" w:space="0" w:color="auto"/>
        <w:left w:val="none" w:sz="0" w:space="0" w:color="auto"/>
        <w:bottom w:val="none" w:sz="0" w:space="0" w:color="auto"/>
        <w:right w:val="none" w:sz="0" w:space="0" w:color="auto"/>
      </w:divBdr>
    </w:div>
    <w:div w:id="483663622">
      <w:bodyDiv w:val="1"/>
      <w:marLeft w:val="0"/>
      <w:marRight w:val="0"/>
      <w:marTop w:val="0"/>
      <w:marBottom w:val="0"/>
      <w:divBdr>
        <w:top w:val="none" w:sz="0" w:space="0" w:color="auto"/>
        <w:left w:val="none" w:sz="0" w:space="0" w:color="auto"/>
        <w:bottom w:val="none" w:sz="0" w:space="0" w:color="auto"/>
        <w:right w:val="none" w:sz="0" w:space="0" w:color="auto"/>
      </w:divBdr>
    </w:div>
    <w:div w:id="484393751">
      <w:bodyDiv w:val="1"/>
      <w:marLeft w:val="0"/>
      <w:marRight w:val="0"/>
      <w:marTop w:val="0"/>
      <w:marBottom w:val="0"/>
      <w:divBdr>
        <w:top w:val="none" w:sz="0" w:space="0" w:color="auto"/>
        <w:left w:val="none" w:sz="0" w:space="0" w:color="auto"/>
        <w:bottom w:val="none" w:sz="0" w:space="0" w:color="auto"/>
        <w:right w:val="none" w:sz="0" w:space="0" w:color="auto"/>
      </w:divBdr>
    </w:div>
    <w:div w:id="490147842">
      <w:bodyDiv w:val="1"/>
      <w:marLeft w:val="0"/>
      <w:marRight w:val="0"/>
      <w:marTop w:val="0"/>
      <w:marBottom w:val="0"/>
      <w:divBdr>
        <w:top w:val="none" w:sz="0" w:space="0" w:color="auto"/>
        <w:left w:val="none" w:sz="0" w:space="0" w:color="auto"/>
        <w:bottom w:val="none" w:sz="0" w:space="0" w:color="auto"/>
        <w:right w:val="none" w:sz="0" w:space="0" w:color="auto"/>
      </w:divBdr>
    </w:div>
    <w:div w:id="500583015">
      <w:bodyDiv w:val="1"/>
      <w:marLeft w:val="0"/>
      <w:marRight w:val="0"/>
      <w:marTop w:val="0"/>
      <w:marBottom w:val="0"/>
      <w:divBdr>
        <w:top w:val="none" w:sz="0" w:space="0" w:color="auto"/>
        <w:left w:val="none" w:sz="0" w:space="0" w:color="auto"/>
        <w:bottom w:val="none" w:sz="0" w:space="0" w:color="auto"/>
        <w:right w:val="none" w:sz="0" w:space="0" w:color="auto"/>
      </w:divBdr>
    </w:div>
    <w:div w:id="520626914">
      <w:bodyDiv w:val="1"/>
      <w:marLeft w:val="0"/>
      <w:marRight w:val="0"/>
      <w:marTop w:val="0"/>
      <w:marBottom w:val="0"/>
      <w:divBdr>
        <w:top w:val="none" w:sz="0" w:space="0" w:color="auto"/>
        <w:left w:val="none" w:sz="0" w:space="0" w:color="auto"/>
        <w:bottom w:val="none" w:sz="0" w:space="0" w:color="auto"/>
        <w:right w:val="none" w:sz="0" w:space="0" w:color="auto"/>
      </w:divBdr>
    </w:div>
    <w:div w:id="521936158">
      <w:bodyDiv w:val="1"/>
      <w:marLeft w:val="0"/>
      <w:marRight w:val="0"/>
      <w:marTop w:val="0"/>
      <w:marBottom w:val="0"/>
      <w:divBdr>
        <w:top w:val="none" w:sz="0" w:space="0" w:color="auto"/>
        <w:left w:val="none" w:sz="0" w:space="0" w:color="auto"/>
        <w:bottom w:val="none" w:sz="0" w:space="0" w:color="auto"/>
        <w:right w:val="none" w:sz="0" w:space="0" w:color="auto"/>
      </w:divBdr>
    </w:div>
    <w:div w:id="524707212">
      <w:bodyDiv w:val="1"/>
      <w:marLeft w:val="0"/>
      <w:marRight w:val="0"/>
      <w:marTop w:val="0"/>
      <w:marBottom w:val="0"/>
      <w:divBdr>
        <w:top w:val="none" w:sz="0" w:space="0" w:color="auto"/>
        <w:left w:val="none" w:sz="0" w:space="0" w:color="auto"/>
        <w:bottom w:val="none" w:sz="0" w:space="0" w:color="auto"/>
        <w:right w:val="none" w:sz="0" w:space="0" w:color="auto"/>
      </w:divBdr>
    </w:div>
    <w:div w:id="567228356">
      <w:bodyDiv w:val="1"/>
      <w:marLeft w:val="0"/>
      <w:marRight w:val="0"/>
      <w:marTop w:val="0"/>
      <w:marBottom w:val="0"/>
      <w:divBdr>
        <w:top w:val="none" w:sz="0" w:space="0" w:color="auto"/>
        <w:left w:val="none" w:sz="0" w:space="0" w:color="auto"/>
        <w:bottom w:val="none" w:sz="0" w:space="0" w:color="auto"/>
        <w:right w:val="none" w:sz="0" w:space="0" w:color="auto"/>
      </w:divBdr>
    </w:div>
    <w:div w:id="570388246">
      <w:bodyDiv w:val="1"/>
      <w:marLeft w:val="0"/>
      <w:marRight w:val="0"/>
      <w:marTop w:val="0"/>
      <w:marBottom w:val="0"/>
      <w:divBdr>
        <w:top w:val="none" w:sz="0" w:space="0" w:color="auto"/>
        <w:left w:val="none" w:sz="0" w:space="0" w:color="auto"/>
        <w:bottom w:val="none" w:sz="0" w:space="0" w:color="auto"/>
        <w:right w:val="none" w:sz="0" w:space="0" w:color="auto"/>
      </w:divBdr>
    </w:div>
    <w:div w:id="584001640">
      <w:bodyDiv w:val="1"/>
      <w:marLeft w:val="0"/>
      <w:marRight w:val="0"/>
      <w:marTop w:val="0"/>
      <w:marBottom w:val="0"/>
      <w:divBdr>
        <w:top w:val="none" w:sz="0" w:space="0" w:color="auto"/>
        <w:left w:val="none" w:sz="0" w:space="0" w:color="auto"/>
        <w:bottom w:val="none" w:sz="0" w:space="0" w:color="auto"/>
        <w:right w:val="none" w:sz="0" w:space="0" w:color="auto"/>
      </w:divBdr>
    </w:div>
    <w:div w:id="625352323">
      <w:bodyDiv w:val="1"/>
      <w:marLeft w:val="0"/>
      <w:marRight w:val="0"/>
      <w:marTop w:val="0"/>
      <w:marBottom w:val="0"/>
      <w:divBdr>
        <w:top w:val="none" w:sz="0" w:space="0" w:color="auto"/>
        <w:left w:val="none" w:sz="0" w:space="0" w:color="auto"/>
        <w:bottom w:val="none" w:sz="0" w:space="0" w:color="auto"/>
        <w:right w:val="none" w:sz="0" w:space="0" w:color="auto"/>
      </w:divBdr>
    </w:div>
    <w:div w:id="665789230">
      <w:bodyDiv w:val="1"/>
      <w:marLeft w:val="0"/>
      <w:marRight w:val="0"/>
      <w:marTop w:val="0"/>
      <w:marBottom w:val="0"/>
      <w:divBdr>
        <w:top w:val="none" w:sz="0" w:space="0" w:color="auto"/>
        <w:left w:val="none" w:sz="0" w:space="0" w:color="auto"/>
        <w:bottom w:val="none" w:sz="0" w:space="0" w:color="auto"/>
        <w:right w:val="none" w:sz="0" w:space="0" w:color="auto"/>
      </w:divBdr>
    </w:div>
    <w:div w:id="670764675">
      <w:bodyDiv w:val="1"/>
      <w:marLeft w:val="0"/>
      <w:marRight w:val="0"/>
      <w:marTop w:val="0"/>
      <w:marBottom w:val="0"/>
      <w:divBdr>
        <w:top w:val="none" w:sz="0" w:space="0" w:color="auto"/>
        <w:left w:val="none" w:sz="0" w:space="0" w:color="auto"/>
        <w:bottom w:val="none" w:sz="0" w:space="0" w:color="auto"/>
        <w:right w:val="none" w:sz="0" w:space="0" w:color="auto"/>
      </w:divBdr>
    </w:div>
    <w:div w:id="674961275">
      <w:bodyDiv w:val="1"/>
      <w:marLeft w:val="0"/>
      <w:marRight w:val="0"/>
      <w:marTop w:val="0"/>
      <w:marBottom w:val="0"/>
      <w:divBdr>
        <w:top w:val="none" w:sz="0" w:space="0" w:color="auto"/>
        <w:left w:val="none" w:sz="0" w:space="0" w:color="auto"/>
        <w:bottom w:val="none" w:sz="0" w:space="0" w:color="auto"/>
        <w:right w:val="none" w:sz="0" w:space="0" w:color="auto"/>
      </w:divBdr>
    </w:div>
    <w:div w:id="677463121">
      <w:bodyDiv w:val="1"/>
      <w:marLeft w:val="0"/>
      <w:marRight w:val="0"/>
      <w:marTop w:val="0"/>
      <w:marBottom w:val="0"/>
      <w:divBdr>
        <w:top w:val="none" w:sz="0" w:space="0" w:color="auto"/>
        <w:left w:val="none" w:sz="0" w:space="0" w:color="auto"/>
        <w:bottom w:val="none" w:sz="0" w:space="0" w:color="auto"/>
        <w:right w:val="none" w:sz="0" w:space="0" w:color="auto"/>
      </w:divBdr>
    </w:div>
    <w:div w:id="677774905">
      <w:bodyDiv w:val="1"/>
      <w:marLeft w:val="0"/>
      <w:marRight w:val="0"/>
      <w:marTop w:val="0"/>
      <w:marBottom w:val="0"/>
      <w:divBdr>
        <w:top w:val="none" w:sz="0" w:space="0" w:color="auto"/>
        <w:left w:val="none" w:sz="0" w:space="0" w:color="auto"/>
        <w:bottom w:val="none" w:sz="0" w:space="0" w:color="auto"/>
        <w:right w:val="none" w:sz="0" w:space="0" w:color="auto"/>
      </w:divBdr>
    </w:div>
    <w:div w:id="693120472">
      <w:bodyDiv w:val="1"/>
      <w:marLeft w:val="0"/>
      <w:marRight w:val="0"/>
      <w:marTop w:val="0"/>
      <w:marBottom w:val="0"/>
      <w:divBdr>
        <w:top w:val="none" w:sz="0" w:space="0" w:color="auto"/>
        <w:left w:val="none" w:sz="0" w:space="0" w:color="auto"/>
        <w:bottom w:val="none" w:sz="0" w:space="0" w:color="auto"/>
        <w:right w:val="none" w:sz="0" w:space="0" w:color="auto"/>
      </w:divBdr>
    </w:div>
    <w:div w:id="717514828">
      <w:bodyDiv w:val="1"/>
      <w:marLeft w:val="0"/>
      <w:marRight w:val="0"/>
      <w:marTop w:val="0"/>
      <w:marBottom w:val="0"/>
      <w:divBdr>
        <w:top w:val="none" w:sz="0" w:space="0" w:color="auto"/>
        <w:left w:val="none" w:sz="0" w:space="0" w:color="auto"/>
        <w:bottom w:val="none" w:sz="0" w:space="0" w:color="auto"/>
        <w:right w:val="none" w:sz="0" w:space="0" w:color="auto"/>
      </w:divBdr>
    </w:div>
    <w:div w:id="743718544">
      <w:bodyDiv w:val="1"/>
      <w:marLeft w:val="0"/>
      <w:marRight w:val="0"/>
      <w:marTop w:val="0"/>
      <w:marBottom w:val="0"/>
      <w:divBdr>
        <w:top w:val="none" w:sz="0" w:space="0" w:color="auto"/>
        <w:left w:val="none" w:sz="0" w:space="0" w:color="auto"/>
        <w:bottom w:val="none" w:sz="0" w:space="0" w:color="auto"/>
        <w:right w:val="none" w:sz="0" w:space="0" w:color="auto"/>
      </w:divBdr>
    </w:div>
    <w:div w:id="744255139">
      <w:bodyDiv w:val="1"/>
      <w:marLeft w:val="0"/>
      <w:marRight w:val="0"/>
      <w:marTop w:val="0"/>
      <w:marBottom w:val="0"/>
      <w:divBdr>
        <w:top w:val="none" w:sz="0" w:space="0" w:color="auto"/>
        <w:left w:val="none" w:sz="0" w:space="0" w:color="auto"/>
        <w:bottom w:val="none" w:sz="0" w:space="0" w:color="auto"/>
        <w:right w:val="none" w:sz="0" w:space="0" w:color="auto"/>
      </w:divBdr>
    </w:div>
    <w:div w:id="748890480">
      <w:bodyDiv w:val="1"/>
      <w:marLeft w:val="0"/>
      <w:marRight w:val="0"/>
      <w:marTop w:val="0"/>
      <w:marBottom w:val="0"/>
      <w:divBdr>
        <w:top w:val="none" w:sz="0" w:space="0" w:color="auto"/>
        <w:left w:val="none" w:sz="0" w:space="0" w:color="auto"/>
        <w:bottom w:val="none" w:sz="0" w:space="0" w:color="auto"/>
        <w:right w:val="none" w:sz="0" w:space="0" w:color="auto"/>
      </w:divBdr>
    </w:div>
    <w:div w:id="762843302">
      <w:bodyDiv w:val="1"/>
      <w:marLeft w:val="0"/>
      <w:marRight w:val="0"/>
      <w:marTop w:val="0"/>
      <w:marBottom w:val="0"/>
      <w:divBdr>
        <w:top w:val="none" w:sz="0" w:space="0" w:color="auto"/>
        <w:left w:val="none" w:sz="0" w:space="0" w:color="auto"/>
        <w:bottom w:val="none" w:sz="0" w:space="0" w:color="auto"/>
        <w:right w:val="none" w:sz="0" w:space="0" w:color="auto"/>
      </w:divBdr>
    </w:div>
    <w:div w:id="762918483">
      <w:bodyDiv w:val="1"/>
      <w:marLeft w:val="0"/>
      <w:marRight w:val="0"/>
      <w:marTop w:val="0"/>
      <w:marBottom w:val="0"/>
      <w:divBdr>
        <w:top w:val="none" w:sz="0" w:space="0" w:color="auto"/>
        <w:left w:val="none" w:sz="0" w:space="0" w:color="auto"/>
        <w:bottom w:val="none" w:sz="0" w:space="0" w:color="auto"/>
        <w:right w:val="none" w:sz="0" w:space="0" w:color="auto"/>
      </w:divBdr>
    </w:div>
    <w:div w:id="767116997">
      <w:bodyDiv w:val="1"/>
      <w:marLeft w:val="0"/>
      <w:marRight w:val="0"/>
      <w:marTop w:val="0"/>
      <w:marBottom w:val="0"/>
      <w:divBdr>
        <w:top w:val="none" w:sz="0" w:space="0" w:color="auto"/>
        <w:left w:val="none" w:sz="0" w:space="0" w:color="auto"/>
        <w:bottom w:val="none" w:sz="0" w:space="0" w:color="auto"/>
        <w:right w:val="none" w:sz="0" w:space="0" w:color="auto"/>
      </w:divBdr>
    </w:div>
    <w:div w:id="770472772">
      <w:bodyDiv w:val="1"/>
      <w:marLeft w:val="0"/>
      <w:marRight w:val="0"/>
      <w:marTop w:val="0"/>
      <w:marBottom w:val="0"/>
      <w:divBdr>
        <w:top w:val="none" w:sz="0" w:space="0" w:color="auto"/>
        <w:left w:val="none" w:sz="0" w:space="0" w:color="auto"/>
        <w:bottom w:val="none" w:sz="0" w:space="0" w:color="auto"/>
        <w:right w:val="none" w:sz="0" w:space="0" w:color="auto"/>
      </w:divBdr>
    </w:div>
    <w:div w:id="774012528">
      <w:bodyDiv w:val="1"/>
      <w:marLeft w:val="0"/>
      <w:marRight w:val="0"/>
      <w:marTop w:val="0"/>
      <w:marBottom w:val="0"/>
      <w:divBdr>
        <w:top w:val="none" w:sz="0" w:space="0" w:color="auto"/>
        <w:left w:val="none" w:sz="0" w:space="0" w:color="auto"/>
        <w:bottom w:val="none" w:sz="0" w:space="0" w:color="auto"/>
        <w:right w:val="none" w:sz="0" w:space="0" w:color="auto"/>
      </w:divBdr>
    </w:div>
    <w:div w:id="783773992">
      <w:bodyDiv w:val="1"/>
      <w:marLeft w:val="0"/>
      <w:marRight w:val="0"/>
      <w:marTop w:val="0"/>
      <w:marBottom w:val="0"/>
      <w:divBdr>
        <w:top w:val="none" w:sz="0" w:space="0" w:color="auto"/>
        <w:left w:val="none" w:sz="0" w:space="0" w:color="auto"/>
        <w:bottom w:val="none" w:sz="0" w:space="0" w:color="auto"/>
        <w:right w:val="none" w:sz="0" w:space="0" w:color="auto"/>
      </w:divBdr>
    </w:div>
    <w:div w:id="785192978">
      <w:bodyDiv w:val="1"/>
      <w:marLeft w:val="0"/>
      <w:marRight w:val="0"/>
      <w:marTop w:val="0"/>
      <w:marBottom w:val="0"/>
      <w:divBdr>
        <w:top w:val="none" w:sz="0" w:space="0" w:color="auto"/>
        <w:left w:val="none" w:sz="0" w:space="0" w:color="auto"/>
        <w:bottom w:val="none" w:sz="0" w:space="0" w:color="auto"/>
        <w:right w:val="none" w:sz="0" w:space="0" w:color="auto"/>
      </w:divBdr>
    </w:div>
    <w:div w:id="808328318">
      <w:bodyDiv w:val="1"/>
      <w:marLeft w:val="0"/>
      <w:marRight w:val="0"/>
      <w:marTop w:val="0"/>
      <w:marBottom w:val="0"/>
      <w:divBdr>
        <w:top w:val="none" w:sz="0" w:space="0" w:color="auto"/>
        <w:left w:val="none" w:sz="0" w:space="0" w:color="auto"/>
        <w:bottom w:val="none" w:sz="0" w:space="0" w:color="auto"/>
        <w:right w:val="none" w:sz="0" w:space="0" w:color="auto"/>
      </w:divBdr>
    </w:div>
    <w:div w:id="821892429">
      <w:bodyDiv w:val="1"/>
      <w:marLeft w:val="0"/>
      <w:marRight w:val="0"/>
      <w:marTop w:val="0"/>
      <w:marBottom w:val="0"/>
      <w:divBdr>
        <w:top w:val="none" w:sz="0" w:space="0" w:color="auto"/>
        <w:left w:val="none" w:sz="0" w:space="0" w:color="auto"/>
        <w:bottom w:val="none" w:sz="0" w:space="0" w:color="auto"/>
        <w:right w:val="none" w:sz="0" w:space="0" w:color="auto"/>
      </w:divBdr>
    </w:div>
    <w:div w:id="839849757">
      <w:bodyDiv w:val="1"/>
      <w:marLeft w:val="0"/>
      <w:marRight w:val="0"/>
      <w:marTop w:val="0"/>
      <w:marBottom w:val="0"/>
      <w:divBdr>
        <w:top w:val="none" w:sz="0" w:space="0" w:color="auto"/>
        <w:left w:val="none" w:sz="0" w:space="0" w:color="auto"/>
        <w:bottom w:val="none" w:sz="0" w:space="0" w:color="auto"/>
        <w:right w:val="none" w:sz="0" w:space="0" w:color="auto"/>
      </w:divBdr>
    </w:div>
    <w:div w:id="855383161">
      <w:bodyDiv w:val="1"/>
      <w:marLeft w:val="0"/>
      <w:marRight w:val="0"/>
      <w:marTop w:val="0"/>
      <w:marBottom w:val="0"/>
      <w:divBdr>
        <w:top w:val="none" w:sz="0" w:space="0" w:color="auto"/>
        <w:left w:val="none" w:sz="0" w:space="0" w:color="auto"/>
        <w:bottom w:val="none" w:sz="0" w:space="0" w:color="auto"/>
        <w:right w:val="none" w:sz="0" w:space="0" w:color="auto"/>
      </w:divBdr>
    </w:div>
    <w:div w:id="858589146">
      <w:bodyDiv w:val="1"/>
      <w:marLeft w:val="0"/>
      <w:marRight w:val="0"/>
      <w:marTop w:val="0"/>
      <w:marBottom w:val="0"/>
      <w:divBdr>
        <w:top w:val="none" w:sz="0" w:space="0" w:color="auto"/>
        <w:left w:val="none" w:sz="0" w:space="0" w:color="auto"/>
        <w:bottom w:val="none" w:sz="0" w:space="0" w:color="auto"/>
        <w:right w:val="none" w:sz="0" w:space="0" w:color="auto"/>
      </w:divBdr>
    </w:div>
    <w:div w:id="868680984">
      <w:bodyDiv w:val="1"/>
      <w:marLeft w:val="0"/>
      <w:marRight w:val="0"/>
      <w:marTop w:val="0"/>
      <w:marBottom w:val="0"/>
      <w:divBdr>
        <w:top w:val="none" w:sz="0" w:space="0" w:color="auto"/>
        <w:left w:val="none" w:sz="0" w:space="0" w:color="auto"/>
        <w:bottom w:val="none" w:sz="0" w:space="0" w:color="auto"/>
        <w:right w:val="none" w:sz="0" w:space="0" w:color="auto"/>
      </w:divBdr>
    </w:div>
    <w:div w:id="872887342">
      <w:bodyDiv w:val="1"/>
      <w:marLeft w:val="0"/>
      <w:marRight w:val="0"/>
      <w:marTop w:val="0"/>
      <w:marBottom w:val="0"/>
      <w:divBdr>
        <w:top w:val="none" w:sz="0" w:space="0" w:color="auto"/>
        <w:left w:val="none" w:sz="0" w:space="0" w:color="auto"/>
        <w:bottom w:val="none" w:sz="0" w:space="0" w:color="auto"/>
        <w:right w:val="none" w:sz="0" w:space="0" w:color="auto"/>
      </w:divBdr>
    </w:div>
    <w:div w:id="910503526">
      <w:bodyDiv w:val="1"/>
      <w:marLeft w:val="0"/>
      <w:marRight w:val="0"/>
      <w:marTop w:val="0"/>
      <w:marBottom w:val="0"/>
      <w:divBdr>
        <w:top w:val="none" w:sz="0" w:space="0" w:color="auto"/>
        <w:left w:val="none" w:sz="0" w:space="0" w:color="auto"/>
        <w:bottom w:val="none" w:sz="0" w:space="0" w:color="auto"/>
        <w:right w:val="none" w:sz="0" w:space="0" w:color="auto"/>
      </w:divBdr>
    </w:div>
    <w:div w:id="914316001">
      <w:bodyDiv w:val="1"/>
      <w:marLeft w:val="0"/>
      <w:marRight w:val="0"/>
      <w:marTop w:val="0"/>
      <w:marBottom w:val="0"/>
      <w:divBdr>
        <w:top w:val="none" w:sz="0" w:space="0" w:color="auto"/>
        <w:left w:val="none" w:sz="0" w:space="0" w:color="auto"/>
        <w:bottom w:val="none" w:sz="0" w:space="0" w:color="auto"/>
        <w:right w:val="none" w:sz="0" w:space="0" w:color="auto"/>
      </w:divBdr>
    </w:div>
    <w:div w:id="920259542">
      <w:bodyDiv w:val="1"/>
      <w:marLeft w:val="0"/>
      <w:marRight w:val="0"/>
      <w:marTop w:val="0"/>
      <w:marBottom w:val="0"/>
      <w:divBdr>
        <w:top w:val="none" w:sz="0" w:space="0" w:color="auto"/>
        <w:left w:val="none" w:sz="0" w:space="0" w:color="auto"/>
        <w:bottom w:val="none" w:sz="0" w:space="0" w:color="auto"/>
        <w:right w:val="none" w:sz="0" w:space="0" w:color="auto"/>
      </w:divBdr>
    </w:div>
    <w:div w:id="927736000">
      <w:bodyDiv w:val="1"/>
      <w:marLeft w:val="0"/>
      <w:marRight w:val="0"/>
      <w:marTop w:val="0"/>
      <w:marBottom w:val="0"/>
      <w:divBdr>
        <w:top w:val="none" w:sz="0" w:space="0" w:color="auto"/>
        <w:left w:val="none" w:sz="0" w:space="0" w:color="auto"/>
        <w:bottom w:val="none" w:sz="0" w:space="0" w:color="auto"/>
        <w:right w:val="none" w:sz="0" w:space="0" w:color="auto"/>
      </w:divBdr>
    </w:div>
    <w:div w:id="933783005">
      <w:bodyDiv w:val="1"/>
      <w:marLeft w:val="0"/>
      <w:marRight w:val="0"/>
      <w:marTop w:val="0"/>
      <w:marBottom w:val="0"/>
      <w:divBdr>
        <w:top w:val="none" w:sz="0" w:space="0" w:color="auto"/>
        <w:left w:val="none" w:sz="0" w:space="0" w:color="auto"/>
        <w:bottom w:val="none" w:sz="0" w:space="0" w:color="auto"/>
        <w:right w:val="none" w:sz="0" w:space="0" w:color="auto"/>
      </w:divBdr>
    </w:div>
    <w:div w:id="935288083">
      <w:bodyDiv w:val="1"/>
      <w:marLeft w:val="0"/>
      <w:marRight w:val="0"/>
      <w:marTop w:val="0"/>
      <w:marBottom w:val="0"/>
      <w:divBdr>
        <w:top w:val="none" w:sz="0" w:space="0" w:color="auto"/>
        <w:left w:val="none" w:sz="0" w:space="0" w:color="auto"/>
        <w:bottom w:val="none" w:sz="0" w:space="0" w:color="auto"/>
        <w:right w:val="none" w:sz="0" w:space="0" w:color="auto"/>
      </w:divBdr>
    </w:div>
    <w:div w:id="939068077">
      <w:bodyDiv w:val="1"/>
      <w:marLeft w:val="0"/>
      <w:marRight w:val="0"/>
      <w:marTop w:val="0"/>
      <w:marBottom w:val="0"/>
      <w:divBdr>
        <w:top w:val="none" w:sz="0" w:space="0" w:color="auto"/>
        <w:left w:val="none" w:sz="0" w:space="0" w:color="auto"/>
        <w:bottom w:val="none" w:sz="0" w:space="0" w:color="auto"/>
        <w:right w:val="none" w:sz="0" w:space="0" w:color="auto"/>
      </w:divBdr>
    </w:div>
    <w:div w:id="958220775">
      <w:bodyDiv w:val="1"/>
      <w:marLeft w:val="0"/>
      <w:marRight w:val="0"/>
      <w:marTop w:val="0"/>
      <w:marBottom w:val="0"/>
      <w:divBdr>
        <w:top w:val="none" w:sz="0" w:space="0" w:color="auto"/>
        <w:left w:val="none" w:sz="0" w:space="0" w:color="auto"/>
        <w:bottom w:val="none" w:sz="0" w:space="0" w:color="auto"/>
        <w:right w:val="none" w:sz="0" w:space="0" w:color="auto"/>
      </w:divBdr>
    </w:div>
    <w:div w:id="966425940">
      <w:bodyDiv w:val="1"/>
      <w:marLeft w:val="0"/>
      <w:marRight w:val="0"/>
      <w:marTop w:val="0"/>
      <w:marBottom w:val="0"/>
      <w:divBdr>
        <w:top w:val="none" w:sz="0" w:space="0" w:color="auto"/>
        <w:left w:val="none" w:sz="0" w:space="0" w:color="auto"/>
        <w:bottom w:val="none" w:sz="0" w:space="0" w:color="auto"/>
        <w:right w:val="none" w:sz="0" w:space="0" w:color="auto"/>
      </w:divBdr>
    </w:div>
    <w:div w:id="989822342">
      <w:bodyDiv w:val="1"/>
      <w:marLeft w:val="0"/>
      <w:marRight w:val="0"/>
      <w:marTop w:val="0"/>
      <w:marBottom w:val="0"/>
      <w:divBdr>
        <w:top w:val="none" w:sz="0" w:space="0" w:color="auto"/>
        <w:left w:val="none" w:sz="0" w:space="0" w:color="auto"/>
        <w:bottom w:val="none" w:sz="0" w:space="0" w:color="auto"/>
        <w:right w:val="none" w:sz="0" w:space="0" w:color="auto"/>
      </w:divBdr>
    </w:div>
    <w:div w:id="997347158">
      <w:bodyDiv w:val="1"/>
      <w:marLeft w:val="0"/>
      <w:marRight w:val="0"/>
      <w:marTop w:val="0"/>
      <w:marBottom w:val="0"/>
      <w:divBdr>
        <w:top w:val="none" w:sz="0" w:space="0" w:color="auto"/>
        <w:left w:val="none" w:sz="0" w:space="0" w:color="auto"/>
        <w:bottom w:val="none" w:sz="0" w:space="0" w:color="auto"/>
        <w:right w:val="none" w:sz="0" w:space="0" w:color="auto"/>
      </w:divBdr>
    </w:div>
    <w:div w:id="1014721194">
      <w:bodyDiv w:val="1"/>
      <w:marLeft w:val="0"/>
      <w:marRight w:val="0"/>
      <w:marTop w:val="0"/>
      <w:marBottom w:val="0"/>
      <w:divBdr>
        <w:top w:val="none" w:sz="0" w:space="0" w:color="auto"/>
        <w:left w:val="none" w:sz="0" w:space="0" w:color="auto"/>
        <w:bottom w:val="none" w:sz="0" w:space="0" w:color="auto"/>
        <w:right w:val="none" w:sz="0" w:space="0" w:color="auto"/>
      </w:divBdr>
    </w:div>
    <w:div w:id="1016464807">
      <w:bodyDiv w:val="1"/>
      <w:marLeft w:val="0"/>
      <w:marRight w:val="0"/>
      <w:marTop w:val="0"/>
      <w:marBottom w:val="0"/>
      <w:divBdr>
        <w:top w:val="none" w:sz="0" w:space="0" w:color="auto"/>
        <w:left w:val="none" w:sz="0" w:space="0" w:color="auto"/>
        <w:bottom w:val="none" w:sz="0" w:space="0" w:color="auto"/>
        <w:right w:val="none" w:sz="0" w:space="0" w:color="auto"/>
      </w:divBdr>
    </w:div>
    <w:div w:id="1033968473">
      <w:bodyDiv w:val="1"/>
      <w:marLeft w:val="0"/>
      <w:marRight w:val="0"/>
      <w:marTop w:val="0"/>
      <w:marBottom w:val="0"/>
      <w:divBdr>
        <w:top w:val="none" w:sz="0" w:space="0" w:color="auto"/>
        <w:left w:val="none" w:sz="0" w:space="0" w:color="auto"/>
        <w:bottom w:val="none" w:sz="0" w:space="0" w:color="auto"/>
        <w:right w:val="none" w:sz="0" w:space="0" w:color="auto"/>
      </w:divBdr>
    </w:div>
    <w:div w:id="1062951385">
      <w:bodyDiv w:val="1"/>
      <w:marLeft w:val="0"/>
      <w:marRight w:val="0"/>
      <w:marTop w:val="0"/>
      <w:marBottom w:val="0"/>
      <w:divBdr>
        <w:top w:val="none" w:sz="0" w:space="0" w:color="auto"/>
        <w:left w:val="none" w:sz="0" w:space="0" w:color="auto"/>
        <w:bottom w:val="none" w:sz="0" w:space="0" w:color="auto"/>
        <w:right w:val="none" w:sz="0" w:space="0" w:color="auto"/>
      </w:divBdr>
    </w:div>
    <w:div w:id="1075974298">
      <w:bodyDiv w:val="1"/>
      <w:marLeft w:val="0"/>
      <w:marRight w:val="0"/>
      <w:marTop w:val="0"/>
      <w:marBottom w:val="0"/>
      <w:divBdr>
        <w:top w:val="none" w:sz="0" w:space="0" w:color="auto"/>
        <w:left w:val="none" w:sz="0" w:space="0" w:color="auto"/>
        <w:bottom w:val="none" w:sz="0" w:space="0" w:color="auto"/>
        <w:right w:val="none" w:sz="0" w:space="0" w:color="auto"/>
      </w:divBdr>
    </w:div>
    <w:div w:id="1085761703">
      <w:bodyDiv w:val="1"/>
      <w:marLeft w:val="0"/>
      <w:marRight w:val="0"/>
      <w:marTop w:val="0"/>
      <w:marBottom w:val="0"/>
      <w:divBdr>
        <w:top w:val="none" w:sz="0" w:space="0" w:color="auto"/>
        <w:left w:val="none" w:sz="0" w:space="0" w:color="auto"/>
        <w:bottom w:val="none" w:sz="0" w:space="0" w:color="auto"/>
        <w:right w:val="none" w:sz="0" w:space="0" w:color="auto"/>
      </w:divBdr>
    </w:div>
    <w:div w:id="1109541429">
      <w:bodyDiv w:val="1"/>
      <w:marLeft w:val="0"/>
      <w:marRight w:val="0"/>
      <w:marTop w:val="0"/>
      <w:marBottom w:val="0"/>
      <w:divBdr>
        <w:top w:val="none" w:sz="0" w:space="0" w:color="auto"/>
        <w:left w:val="none" w:sz="0" w:space="0" w:color="auto"/>
        <w:bottom w:val="none" w:sz="0" w:space="0" w:color="auto"/>
        <w:right w:val="none" w:sz="0" w:space="0" w:color="auto"/>
      </w:divBdr>
    </w:div>
    <w:div w:id="1109664905">
      <w:bodyDiv w:val="1"/>
      <w:marLeft w:val="0"/>
      <w:marRight w:val="0"/>
      <w:marTop w:val="0"/>
      <w:marBottom w:val="0"/>
      <w:divBdr>
        <w:top w:val="none" w:sz="0" w:space="0" w:color="auto"/>
        <w:left w:val="none" w:sz="0" w:space="0" w:color="auto"/>
        <w:bottom w:val="none" w:sz="0" w:space="0" w:color="auto"/>
        <w:right w:val="none" w:sz="0" w:space="0" w:color="auto"/>
      </w:divBdr>
    </w:div>
    <w:div w:id="1136604954">
      <w:bodyDiv w:val="1"/>
      <w:marLeft w:val="0"/>
      <w:marRight w:val="0"/>
      <w:marTop w:val="0"/>
      <w:marBottom w:val="0"/>
      <w:divBdr>
        <w:top w:val="none" w:sz="0" w:space="0" w:color="auto"/>
        <w:left w:val="none" w:sz="0" w:space="0" w:color="auto"/>
        <w:bottom w:val="none" w:sz="0" w:space="0" w:color="auto"/>
        <w:right w:val="none" w:sz="0" w:space="0" w:color="auto"/>
      </w:divBdr>
    </w:div>
    <w:div w:id="1146899264">
      <w:bodyDiv w:val="1"/>
      <w:marLeft w:val="0"/>
      <w:marRight w:val="0"/>
      <w:marTop w:val="0"/>
      <w:marBottom w:val="0"/>
      <w:divBdr>
        <w:top w:val="none" w:sz="0" w:space="0" w:color="auto"/>
        <w:left w:val="none" w:sz="0" w:space="0" w:color="auto"/>
        <w:bottom w:val="none" w:sz="0" w:space="0" w:color="auto"/>
        <w:right w:val="none" w:sz="0" w:space="0" w:color="auto"/>
      </w:divBdr>
    </w:div>
    <w:div w:id="1166824453">
      <w:bodyDiv w:val="1"/>
      <w:marLeft w:val="0"/>
      <w:marRight w:val="0"/>
      <w:marTop w:val="0"/>
      <w:marBottom w:val="0"/>
      <w:divBdr>
        <w:top w:val="none" w:sz="0" w:space="0" w:color="auto"/>
        <w:left w:val="none" w:sz="0" w:space="0" w:color="auto"/>
        <w:bottom w:val="none" w:sz="0" w:space="0" w:color="auto"/>
        <w:right w:val="none" w:sz="0" w:space="0" w:color="auto"/>
      </w:divBdr>
    </w:div>
    <w:div w:id="1206990621">
      <w:bodyDiv w:val="1"/>
      <w:marLeft w:val="0"/>
      <w:marRight w:val="0"/>
      <w:marTop w:val="0"/>
      <w:marBottom w:val="0"/>
      <w:divBdr>
        <w:top w:val="none" w:sz="0" w:space="0" w:color="auto"/>
        <w:left w:val="none" w:sz="0" w:space="0" w:color="auto"/>
        <w:bottom w:val="none" w:sz="0" w:space="0" w:color="auto"/>
        <w:right w:val="none" w:sz="0" w:space="0" w:color="auto"/>
      </w:divBdr>
    </w:div>
    <w:div w:id="1233274481">
      <w:bodyDiv w:val="1"/>
      <w:marLeft w:val="0"/>
      <w:marRight w:val="0"/>
      <w:marTop w:val="0"/>
      <w:marBottom w:val="0"/>
      <w:divBdr>
        <w:top w:val="none" w:sz="0" w:space="0" w:color="auto"/>
        <w:left w:val="none" w:sz="0" w:space="0" w:color="auto"/>
        <w:bottom w:val="none" w:sz="0" w:space="0" w:color="auto"/>
        <w:right w:val="none" w:sz="0" w:space="0" w:color="auto"/>
      </w:divBdr>
    </w:div>
    <w:div w:id="1246299423">
      <w:bodyDiv w:val="1"/>
      <w:marLeft w:val="0"/>
      <w:marRight w:val="0"/>
      <w:marTop w:val="0"/>
      <w:marBottom w:val="0"/>
      <w:divBdr>
        <w:top w:val="none" w:sz="0" w:space="0" w:color="auto"/>
        <w:left w:val="none" w:sz="0" w:space="0" w:color="auto"/>
        <w:bottom w:val="none" w:sz="0" w:space="0" w:color="auto"/>
        <w:right w:val="none" w:sz="0" w:space="0" w:color="auto"/>
      </w:divBdr>
    </w:div>
    <w:div w:id="1254901213">
      <w:bodyDiv w:val="1"/>
      <w:marLeft w:val="0"/>
      <w:marRight w:val="0"/>
      <w:marTop w:val="0"/>
      <w:marBottom w:val="0"/>
      <w:divBdr>
        <w:top w:val="none" w:sz="0" w:space="0" w:color="auto"/>
        <w:left w:val="none" w:sz="0" w:space="0" w:color="auto"/>
        <w:bottom w:val="none" w:sz="0" w:space="0" w:color="auto"/>
        <w:right w:val="none" w:sz="0" w:space="0" w:color="auto"/>
      </w:divBdr>
    </w:div>
    <w:div w:id="1271549594">
      <w:bodyDiv w:val="1"/>
      <w:marLeft w:val="0"/>
      <w:marRight w:val="0"/>
      <w:marTop w:val="0"/>
      <w:marBottom w:val="0"/>
      <w:divBdr>
        <w:top w:val="none" w:sz="0" w:space="0" w:color="auto"/>
        <w:left w:val="none" w:sz="0" w:space="0" w:color="auto"/>
        <w:bottom w:val="none" w:sz="0" w:space="0" w:color="auto"/>
        <w:right w:val="none" w:sz="0" w:space="0" w:color="auto"/>
      </w:divBdr>
    </w:div>
    <w:div w:id="1292251476">
      <w:bodyDiv w:val="1"/>
      <w:marLeft w:val="0"/>
      <w:marRight w:val="0"/>
      <w:marTop w:val="0"/>
      <w:marBottom w:val="0"/>
      <w:divBdr>
        <w:top w:val="none" w:sz="0" w:space="0" w:color="auto"/>
        <w:left w:val="none" w:sz="0" w:space="0" w:color="auto"/>
        <w:bottom w:val="none" w:sz="0" w:space="0" w:color="auto"/>
        <w:right w:val="none" w:sz="0" w:space="0" w:color="auto"/>
      </w:divBdr>
    </w:div>
    <w:div w:id="1317222233">
      <w:bodyDiv w:val="1"/>
      <w:marLeft w:val="0"/>
      <w:marRight w:val="0"/>
      <w:marTop w:val="0"/>
      <w:marBottom w:val="0"/>
      <w:divBdr>
        <w:top w:val="none" w:sz="0" w:space="0" w:color="auto"/>
        <w:left w:val="none" w:sz="0" w:space="0" w:color="auto"/>
        <w:bottom w:val="none" w:sz="0" w:space="0" w:color="auto"/>
        <w:right w:val="none" w:sz="0" w:space="0" w:color="auto"/>
      </w:divBdr>
    </w:div>
    <w:div w:id="1323505413">
      <w:bodyDiv w:val="1"/>
      <w:marLeft w:val="0"/>
      <w:marRight w:val="0"/>
      <w:marTop w:val="0"/>
      <w:marBottom w:val="0"/>
      <w:divBdr>
        <w:top w:val="none" w:sz="0" w:space="0" w:color="auto"/>
        <w:left w:val="none" w:sz="0" w:space="0" w:color="auto"/>
        <w:bottom w:val="none" w:sz="0" w:space="0" w:color="auto"/>
        <w:right w:val="none" w:sz="0" w:space="0" w:color="auto"/>
      </w:divBdr>
    </w:div>
    <w:div w:id="1336148561">
      <w:bodyDiv w:val="1"/>
      <w:marLeft w:val="0"/>
      <w:marRight w:val="0"/>
      <w:marTop w:val="0"/>
      <w:marBottom w:val="0"/>
      <w:divBdr>
        <w:top w:val="none" w:sz="0" w:space="0" w:color="auto"/>
        <w:left w:val="none" w:sz="0" w:space="0" w:color="auto"/>
        <w:bottom w:val="none" w:sz="0" w:space="0" w:color="auto"/>
        <w:right w:val="none" w:sz="0" w:space="0" w:color="auto"/>
      </w:divBdr>
    </w:div>
    <w:div w:id="1338653940">
      <w:bodyDiv w:val="1"/>
      <w:marLeft w:val="0"/>
      <w:marRight w:val="0"/>
      <w:marTop w:val="0"/>
      <w:marBottom w:val="0"/>
      <w:divBdr>
        <w:top w:val="none" w:sz="0" w:space="0" w:color="auto"/>
        <w:left w:val="none" w:sz="0" w:space="0" w:color="auto"/>
        <w:bottom w:val="none" w:sz="0" w:space="0" w:color="auto"/>
        <w:right w:val="none" w:sz="0" w:space="0" w:color="auto"/>
      </w:divBdr>
    </w:div>
    <w:div w:id="1369333044">
      <w:bodyDiv w:val="1"/>
      <w:marLeft w:val="0"/>
      <w:marRight w:val="0"/>
      <w:marTop w:val="0"/>
      <w:marBottom w:val="0"/>
      <w:divBdr>
        <w:top w:val="none" w:sz="0" w:space="0" w:color="auto"/>
        <w:left w:val="none" w:sz="0" w:space="0" w:color="auto"/>
        <w:bottom w:val="none" w:sz="0" w:space="0" w:color="auto"/>
        <w:right w:val="none" w:sz="0" w:space="0" w:color="auto"/>
      </w:divBdr>
    </w:div>
    <w:div w:id="1391032964">
      <w:bodyDiv w:val="1"/>
      <w:marLeft w:val="0"/>
      <w:marRight w:val="0"/>
      <w:marTop w:val="0"/>
      <w:marBottom w:val="0"/>
      <w:divBdr>
        <w:top w:val="none" w:sz="0" w:space="0" w:color="auto"/>
        <w:left w:val="none" w:sz="0" w:space="0" w:color="auto"/>
        <w:bottom w:val="none" w:sz="0" w:space="0" w:color="auto"/>
        <w:right w:val="none" w:sz="0" w:space="0" w:color="auto"/>
      </w:divBdr>
    </w:div>
    <w:div w:id="1394503314">
      <w:bodyDiv w:val="1"/>
      <w:marLeft w:val="0"/>
      <w:marRight w:val="0"/>
      <w:marTop w:val="0"/>
      <w:marBottom w:val="0"/>
      <w:divBdr>
        <w:top w:val="none" w:sz="0" w:space="0" w:color="auto"/>
        <w:left w:val="none" w:sz="0" w:space="0" w:color="auto"/>
        <w:bottom w:val="none" w:sz="0" w:space="0" w:color="auto"/>
        <w:right w:val="none" w:sz="0" w:space="0" w:color="auto"/>
      </w:divBdr>
    </w:div>
    <w:div w:id="1405302871">
      <w:bodyDiv w:val="1"/>
      <w:marLeft w:val="0"/>
      <w:marRight w:val="0"/>
      <w:marTop w:val="0"/>
      <w:marBottom w:val="0"/>
      <w:divBdr>
        <w:top w:val="none" w:sz="0" w:space="0" w:color="auto"/>
        <w:left w:val="none" w:sz="0" w:space="0" w:color="auto"/>
        <w:bottom w:val="none" w:sz="0" w:space="0" w:color="auto"/>
        <w:right w:val="none" w:sz="0" w:space="0" w:color="auto"/>
      </w:divBdr>
    </w:div>
    <w:div w:id="1424566301">
      <w:bodyDiv w:val="1"/>
      <w:marLeft w:val="0"/>
      <w:marRight w:val="0"/>
      <w:marTop w:val="0"/>
      <w:marBottom w:val="0"/>
      <w:divBdr>
        <w:top w:val="none" w:sz="0" w:space="0" w:color="auto"/>
        <w:left w:val="none" w:sz="0" w:space="0" w:color="auto"/>
        <w:bottom w:val="none" w:sz="0" w:space="0" w:color="auto"/>
        <w:right w:val="none" w:sz="0" w:space="0" w:color="auto"/>
      </w:divBdr>
    </w:div>
    <w:div w:id="1428962987">
      <w:bodyDiv w:val="1"/>
      <w:marLeft w:val="0"/>
      <w:marRight w:val="0"/>
      <w:marTop w:val="0"/>
      <w:marBottom w:val="0"/>
      <w:divBdr>
        <w:top w:val="none" w:sz="0" w:space="0" w:color="auto"/>
        <w:left w:val="none" w:sz="0" w:space="0" w:color="auto"/>
        <w:bottom w:val="none" w:sz="0" w:space="0" w:color="auto"/>
        <w:right w:val="none" w:sz="0" w:space="0" w:color="auto"/>
      </w:divBdr>
    </w:div>
    <w:div w:id="1433627145">
      <w:bodyDiv w:val="1"/>
      <w:marLeft w:val="0"/>
      <w:marRight w:val="0"/>
      <w:marTop w:val="0"/>
      <w:marBottom w:val="0"/>
      <w:divBdr>
        <w:top w:val="none" w:sz="0" w:space="0" w:color="auto"/>
        <w:left w:val="none" w:sz="0" w:space="0" w:color="auto"/>
        <w:bottom w:val="none" w:sz="0" w:space="0" w:color="auto"/>
        <w:right w:val="none" w:sz="0" w:space="0" w:color="auto"/>
      </w:divBdr>
    </w:div>
    <w:div w:id="1451044479">
      <w:bodyDiv w:val="1"/>
      <w:marLeft w:val="0"/>
      <w:marRight w:val="0"/>
      <w:marTop w:val="0"/>
      <w:marBottom w:val="0"/>
      <w:divBdr>
        <w:top w:val="none" w:sz="0" w:space="0" w:color="auto"/>
        <w:left w:val="none" w:sz="0" w:space="0" w:color="auto"/>
        <w:bottom w:val="none" w:sz="0" w:space="0" w:color="auto"/>
        <w:right w:val="none" w:sz="0" w:space="0" w:color="auto"/>
      </w:divBdr>
    </w:div>
    <w:div w:id="1452435198">
      <w:bodyDiv w:val="1"/>
      <w:marLeft w:val="0"/>
      <w:marRight w:val="0"/>
      <w:marTop w:val="0"/>
      <w:marBottom w:val="0"/>
      <w:divBdr>
        <w:top w:val="none" w:sz="0" w:space="0" w:color="auto"/>
        <w:left w:val="none" w:sz="0" w:space="0" w:color="auto"/>
        <w:bottom w:val="none" w:sz="0" w:space="0" w:color="auto"/>
        <w:right w:val="none" w:sz="0" w:space="0" w:color="auto"/>
      </w:divBdr>
    </w:div>
    <w:div w:id="1455563463">
      <w:bodyDiv w:val="1"/>
      <w:marLeft w:val="0"/>
      <w:marRight w:val="0"/>
      <w:marTop w:val="0"/>
      <w:marBottom w:val="0"/>
      <w:divBdr>
        <w:top w:val="none" w:sz="0" w:space="0" w:color="auto"/>
        <w:left w:val="none" w:sz="0" w:space="0" w:color="auto"/>
        <w:bottom w:val="none" w:sz="0" w:space="0" w:color="auto"/>
        <w:right w:val="none" w:sz="0" w:space="0" w:color="auto"/>
      </w:divBdr>
    </w:div>
    <w:div w:id="1461458088">
      <w:bodyDiv w:val="1"/>
      <w:marLeft w:val="0"/>
      <w:marRight w:val="0"/>
      <w:marTop w:val="0"/>
      <w:marBottom w:val="0"/>
      <w:divBdr>
        <w:top w:val="none" w:sz="0" w:space="0" w:color="auto"/>
        <w:left w:val="none" w:sz="0" w:space="0" w:color="auto"/>
        <w:bottom w:val="none" w:sz="0" w:space="0" w:color="auto"/>
        <w:right w:val="none" w:sz="0" w:space="0" w:color="auto"/>
      </w:divBdr>
    </w:div>
    <w:div w:id="1470130037">
      <w:bodyDiv w:val="1"/>
      <w:marLeft w:val="0"/>
      <w:marRight w:val="0"/>
      <w:marTop w:val="0"/>
      <w:marBottom w:val="0"/>
      <w:divBdr>
        <w:top w:val="none" w:sz="0" w:space="0" w:color="auto"/>
        <w:left w:val="none" w:sz="0" w:space="0" w:color="auto"/>
        <w:bottom w:val="none" w:sz="0" w:space="0" w:color="auto"/>
        <w:right w:val="none" w:sz="0" w:space="0" w:color="auto"/>
      </w:divBdr>
    </w:div>
    <w:div w:id="1492023902">
      <w:bodyDiv w:val="1"/>
      <w:marLeft w:val="0"/>
      <w:marRight w:val="0"/>
      <w:marTop w:val="0"/>
      <w:marBottom w:val="0"/>
      <w:divBdr>
        <w:top w:val="none" w:sz="0" w:space="0" w:color="auto"/>
        <w:left w:val="none" w:sz="0" w:space="0" w:color="auto"/>
        <w:bottom w:val="none" w:sz="0" w:space="0" w:color="auto"/>
        <w:right w:val="none" w:sz="0" w:space="0" w:color="auto"/>
      </w:divBdr>
    </w:div>
    <w:div w:id="1496611710">
      <w:bodyDiv w:val="1"/>
      <w:marLeft w:val="0"/>
      <w:marRight w:val="0"/>
      <w:marTop w:val="0"/>
      <w:marBottom w:val="0"/>
      <w:divBdr>
        <w:top w:val="none" w:sz="0" w:space="0" w:color="auto"/>
        <w:left w:val="none" w:sz="0" w:space="0" w:color="auto"/>
        <w:bottom w:val="none" w:sz="0" w:space="0" w:color="auto"/>
        <w:right w:val="none" w:sz="0" w:space="0" w:color="auto"/>
      </w:divBdr>
    </w:div>
    <w:div w:id="1503812915">
      <w:bodyDiv w:val="1"/>
      <w:marLeft w:val="0"/>
      <w:marRight w:val="0"/>
      <w:marTop w:val="0"/>
      <w:marBottom w:val="0"/>
      <w:divBdr>
        <w:top w:val="none" w:sz="0" w:space="0" w:color="auto"/>
        <w:left w:val="none" w:sz="0" w:space="0" w:color="auto"/>
        <w:bottom w:val="none" w:sz="0" w:space="0" w:color="auto"/>
        <w:right w:val="none" w:sz="0" w:space="0" w:color="auto"/>
      </w:divBdr>
    </w:div>
    <w:div w:id="1508517667">
      <w:bodyDiv w:val="1"/>
      <w:marLeft w:val="0"/>
      <w:marRight w:val="0"/>
      <w:marTop w:val="0"/>
      <w:marBottom w:val="0"/>
      <w:divBdr>
        <w:top w:val="none" w:sz="0" w:space="0" w:color="auto"/>
        <w:left w:val="none" w:sz="0" w:space="0" w:color="auto"/>
        <w:bottom w:val="none" w:sz="0" w:space="0" w:color="auto"/>
        <w:right w:val="none" w:sz="0" w:space="0" w:color="auto"/>
      </w:divBdr>
    </w:div>
    <w:div w:id="1557550520">
      <w:bodyDiv w:val="1"/>
      <w:marLeft w:val="0"/>
      <w:marRight w:val="0"/>
      <w:marTop w:val="0"/>
      <w:marBottom w:val="0"/>
      <w:divBdr>
        <w:top w:val="none" w:sz="0" w:space="0" w:color="auto"/>
        <w:left w:val="none" w:sz="0" w:space="0" w:color="auto"/>
        <w:bottom w:val="none" w:sz="0" w:space="0" w:color="auto"/>
        <w:right w:val="none" w:sz="0" w:space="0" w:color="auto"/>
      </w:divBdr>
    </w:div>
    <w:div w:id="1567302784">
      <w:bodyDiv w:val="1"/>
      <w:marLeft w:val="0"/>
      <w:marRight w:val="0"/>
      <w:marTop w:val="0"/>
      <w:marBottom w:val="0"/>
      <w:divBdr>
        <w:top w:val="none" w:sz="0" w:space="0" w:color="auto"/>
        <w:left w:val="none" w:sz="0" w:space="0" w:color="auto"/>
        <w:bottom w:val="none" w:sz="0" w:space="0" w:color="auto"/>
        <w:right w:val="none" w:sz="0" w:space="0" w:color="auto"/>
      </w:divBdr>
    </w:div>
    <w:div w:id="1569263664">
      <w:bodyDiv w:val="1"/>
      <w:marLeft w:val="0"/>
      <w:marRight w:val="0"/>
      <w:marTop w:val="0"/>
      <w:marBottom w:val="0"/>
      <w:divBdr>
        <w:top w:val="none" w:sz="0" w:space="0" w:color="auto"/>
        <w:left w:val="none" w:sz="0" w:space="0" w:color="auto"/>
        <w:bottom w:val="none" w:sz="0" w:space="0" w:color="auto"/>
        <w:right w:val="none" w:sz="0" w:space="0" w:color="auto"/>
      </w:divBdr>
    </w:div>
    <w:div w:id="1573927750">
      <w:bodyDiv w:val="1"/>
      <w:marLeft w:val="0"/>
      <w:marRight w:val="0"/>
      <w:marTop w:val="0"/>
      <w:marBottom w:val="0"/>
      <w:divBdr>
        <w:top w:val="none" w:sz="0" w:space="0" w:color="auto"/>
        <w:left w:val="none" w:sz="0" w:space="0" w:color="auto"/>
        <w:bottom w:val="none" w:sz="0" w:space="0" w:color="auto"/>
        <w:right w:val="none" w:sz="0" w:space="0" w:color="auto"/>
      </w:divBdr>
    </w:div>
    <w:div w:id="1574318127">
      <w:bodyDiv w:val="1"/>
      <w:marLeft w:val="0"/>
      <w:marRight w:val="0"/>
      <w:marTop w:val="0"/>
      <w:marBottom w:val="0"/>
      <w:divBdr>
        <w:top w:val="none" w:sz="0" w:space="0" w:color="auto"/>
        <w:left w:val="none" w:sz="0" w:space="0" w:color="auto"/>
        <w:bottom w:val="none" w:sz="0" w:space="0" w:color="auto"/>
        <w:right w:val="none" w:sz="0" w:space="0" w:color="auto"/>
      </w:divBdr>
    </w:div>
    <w:div w:id="1580217196">
      <w:bodyDiv w:val="1"/>
      <w:marLeft w:val="0"/>
      <w:marRight w:val="0"/>
      <w:marTop w:val="0"/>
      <w:marBottom w:val="0"/>
      <w:divBdr>
        <w:top w:val="none" w:sz="0" w:space="0" w:color="auto"/>
        <w:left w:val="none" w:sz="0" w:space="0" w:color="auto"/>
        <w:bottom w:val="none" w:sz="0" w:space="0" w:color="auto"/>
        <w:right w:val="none" w:sz="0" w:space="0" w:color="auto"/>
      </w:divBdr>
    </w:div>
    <w:div w:id="1593850546">
      <w:bodyDiv w:val="1"/>
      <w:marLeft w:val="0"/>
      <w:marRight w:val="0"/>
      <w:marTop w:val="0"/>
      <w:marBottom w:val="0"/>
      <w:divBdr>
        <w:top w:val="none" w:sz="0" w:space="0" w:color="auto"/>
        <w:left w:val="none" w:sz="0" w:space="0" w:color="auto"/>
        <w:bottom w:val="none" w:sz="0" w:space="0" w:color="auto"/>
        <w:right w:val="none" w:sz="0" w:space="0" w:color="auto"/>
      </w:divBdr>
    </w:div>
    <w:div w:id="1599602993">
      <w:bodyDiv w:val="1"/>
      <w:marLeft w:val="0"/>
      <w:marRight w:val="0"/>
      <w:marTop w:val="0"/>
      <w:marBottom w:val="0"/>
      <w:divBdr>
        <w:top w:val="none" w:sz="0" w:space="0" w:color="auto"/>
        <w:left w:val="none" w:sz="0" w:space="0" w:color="auto"/>
        <w:bottom w:val="none" w:sz="0" w:space="0" w:color="auto"/>
        <w:right w:val="none" w:sz="0" w:space="0" w:color="auto"/>
      </w:divBdr>
    </w:div>
    <w:div w:id="1606307949">
      <w:bodyDiv w:val="1"/>
      <w:marLeft w:val="0"/>
      <w:marRight w:val="0"/>
      <w:marTop w:val="0"/>
      <w:marBottom w:val="0"/>
      <w:divBdr>
        <w:top w:val="none" w:sz="0" w:space="0" w:color="auto"/>
        <w:left w:val="none" w:sz="0" w:space="0" w:color="auto"/>
        <w:bottom w:val="none" w:sz="0" w:space="0" w:color="auto"/>
        <w:right w:val="none" w:sz="0" w:space="0" w:color="auto"/>
      </w:divBdr>
    </w:div>
    <w:div w:id="1607080515">
      <w:bodyDiv w:val="1"/>
      <w:marLeft w:val="0"/>
      <w:marRight w:val="0"/>
      <w:marTop w:val="0"/>
      <w:marBottom w:val="0"/>
      <w:divBdr>
        <w:top w:val="none" w:sz="0" w:space="0" w:color="auto"/>
        <w:left w:val="none" w:sz="0" w:space="0" w:color="auto"/>
        <w:bottom w:val="none" w:sz="0" w:space="0" w:color="auto"/>
        <w:right w:val="none" w:sz="0" w:space="0" w:color="auto"/>
      </w:divBdr>
    </w:div>
    <w:div w:id="1609654070">
      <w:bodyDiv w:val="1"/>
      <w:marLeft w:val="0"/>
      <w:marRight w:val="0"/>
      <w:marTop w:val="0"/>
      <w:marBottom w:val="0"/>
      <w:divBdr>
        <w:top w:val="none" w:sz="0" w:space="0" w:color="auto"/>
        <w:left w:val="none" w:sz="0" w:space="0" w:color="auto"/>
        <w:bottom w:val="none" w:sz="0" w:space="0" w:color="auto"/>
        <w:right w:val="none" w:sz="0" w:space="0" w:color="auto"/>
      </w:divBdr>
    </w:div>
    <w:div w:id="1614556734">
      <w:bodyDiv w:val="1"/>
      <w:marLeft w:val="0"/>
      <w:marRight w:val="0"/>
      <w:marTop w:val="0"/>
      <w:marBottom w:val="0"/>
      <w:divBdr>
        <w:top w:val="none" w:sz="0" w:space="0" w:color="auto"/>
        <w:left w:val="none" w:sz="0" w:space="0" w:color="auto"/>
        <w:bottom w:val="none" w:sz="0" w:space="0" w:color="auto"/>
        <w:right w:val="none" w:sz="0" w:space="0" w:color="auto"/>
      </w:divBdr>
    </w:div>
    <w:div w:id="1668366985">
      <w:bodyDiv w:val="1"/>
      <w:marLeft w:val="0"/>
      <w:marRight w:val="0"/>
      <w:marTop w:val="0"/>
      <w:marBottom w:val="0"/>
      <w:divBdr>
        <w:top w:val="none" w:sz="0" w:space="0" w:color="auto"/>
        <w:left w:val="none" w:sz="0" w:space="0" w:color="auto"/>
        <w:bottom w:val="none" w:sz="0" w:space="0" w:color="auto"/>
        <w:right w:val="none" w:sz="0" w:space="0" w:color="auto"/>
      </w:divBdr>
    </w:div>
    <w:div w:id="1690063653">
      <w:bodyDiv w:val="1"/>
      <w:marLeft w:val="0"/>
      <w:marRight w:val="0"/>
      <w:marTop w:val="0"/>
      <w:marBottom w:val="0"/>
      <w:divBdr>
        <w:top w:val="none" w:sz="0" w:space="0" w:color="auto"/>
        <w:left w:val="none" w:sz="0" w:space="0" w:color="auto"/>
        <w:bottom w:val="none" w:sz="0" w:space="0" w:color="auto"/>
        <w:right w:val="none" w:sz="0" w:space="0" w:color="auto"/>
      </w:divBdr>
    </w:div>
    <w:div w:id="1704090301">
      <w:bodyDiv w:val="1"/>
      <w:marLeft w:val="0"/>
      <w:marRight w:val="0"/>
      <w:marTop w:val="0"/>
      <w:marBottom w:val="0"/>
      <w:divBdr>
        <w:top w:val="none" w:sz="0" w:space="0" w:color="auto"/>
        <w:left w:val="none" w:sz="0" w:space="0" w:color="auto"/>
        <w:bottom w:val="none" w:sz="0" w:space="0" w:color="auto"/>
        <w:right w:val="none" w:sz="0" w:space="0" w:color="auto"/>
      </w:divBdr>
    </w:div>
    <w:div w:id="1729575697">
      <w:bodyDiv w:val="1"/>
      <w:marLeft w:val="0"/>
      <w:marRight w:val="0"/>
      <w:marTop w:val="0"/>
      <w:marBottom w:val="0"/>
      <w:divBdr>
        <w:top w:val="none" w:sz="0" w:space="0" w:color="auto"/>
        <w:left w:val="none" w:sz="0" w:space="0" w:color="auto"/>
        <w:bottom w:val="none" w:sz="0" w:space="0" w:color="auto"/>
        <w:right w:val="none" w:sz="0" w:space="0" w:color="auto"/>
      </w:divBdr>
    </w:div>
    <w:div w:id="1745948400">
      <w:bodyDiv w:val="1"/>
      <w:marLeft w:val="0"/>
      <w:marRight w:val="0"/>
      <w:marTop w:val="0"/>
      <w:marBottom w:val="0"/>
      <w:divBdr>
        <w:top w:val="none" w:sz="0" w:space="0" w:color="auto"/>
        <w:left w:val="none" w:sz="0" w:space="0" w:color="auto"/>
        <w:bottom w:val="none" w:sz="0" w:space="0" w:color="auto"/>
        <w:right w:val="none" w:sz="0" w:space="0" w:color="auto"/>
      </w:divBdr>
    </w:div>
    <w:div w:id="1747653997">
      <w:bodyDiv w:val="1"/>
      <w:marLeft w:val="0"/>
      <w:marRight w:val="0"/>
      <w:marTop w:val="0"/>
      <w:marBottom w:val="0"/>
      <w:divBdr>
        <w:top w:val="none" w:sz="0" w:space="0" w:color="auto"/>
        <w:left w:val="none" w:sz="0" w:space="0" w:color="auto"/>
        <w:bottom w:val="none" w:sz="0" w:space="0" w:color="auto"/>
        <w:right w:val="none" w:sz="0" w:space="0" w:color="auto"/>
      </w:divBdr>
    </w:div>
    <w:div w:id="1782607982">
      <w:bodyDiv w:val="1"/>
      <w:marLeft w:val="0"/>
      <w:marRight w:val="0"/>
      <w:marTop w:val="0"/>
      <w:marBottom w:val="0"/>
      <w:divBdr>
        <w:top w:val="none" w:sz="0" w:space="0" w:color="auto"/>
        <w:left w:val="none" w:sz="0" w:space="0" w:color="auto"/>
        <w:bottom w:val="none" w:sz="0" w:space="0" w:color="auto"/>
        <w:right w:val="none" w:sz="0" w:space="0" w:color="auto"/>
      </w:divBdr>
    </w:div>
    <w:div w:id="1782917837">
      <w:bodyDiv w:val="1"/>
      <w:marLeft w:val="0"/>
      <w:marRight w:val="0"/>
      <w:marTop w:val="0"/>
      <w:marBottom w:val="0"/>
      <w:divBdr>
        <w:top w:val="none" w:sz="0" w:space="0" w:color="auto"/>
        <w:left w:val="none" w:sz="0" w:space="0" w:color="auto"/>
        <w:bottom w:val="none" w:sz="0" w:space="0" w:color="auto"/>
        <w:right w:val="none" w:sz="0" w:space="0" w:color="auto"/>
      </w:divBdr>
    </w:div>
    <w:div w:id="1795639460">
      <w:bodyDiv w:val="1"/>
      <w:marLeft w:val="0"/>
      <w:marRight w:val="0"/>
      <w:marTop w:val="0"/>
      <w:marBottom w:val="0"/>
      <w:divBdr>
        <w:top w:val="none" w:sz="0" w:space="0" w:color="auto"/>
        <w:left w:val="none" w:sz="0" w:space="0" w:color="auto"/>
        <w:bottom w:val="none" w:sz="0" w:space="0" w:color="auto"/>
        <w:right w:val="none" w:sz="0" w:space="0" w:color="auto"/>
      </w:divBdr>
    </w:div>
    <w:div w:id="1827866669">
      <w:bodyDiv w:val="1"/>
      <w:marLeft w:val="0"/>
      <w:marRight w:val="0"/>
      <w:marTop w:val="0"/>
      <w:marBottom w:val="0"/>
      <w:divBdr>
        <w:top w:val="none" w:sz="0" w:space="0" w:color="auto"/>
        <w:left w:val="none" w:sz="0" w:space="0" w:color="auto"/>
        <w:bottom w:val="none" w:sz="0" w:space="0" w:color="auto"/>
        <w:right w:val="none" w:sz="0" w:space="0" w:color="auto"/>
      </w:divBdr>
    </w:div>
    <w:div w:id="1836258890">
      <w:bodyDiv w:val="1"/>
      <w:marLeft w:val="0"/>
      <w:marRight w:val="0"/>
      <w:marTop w:val="0"/>
      <w:marBottom w:val="0"/>
      <w:divBdr>
        <w:top w:val="none" w:sz="0" w:space="0" w:color="auto"/>
        <w:left w:val="none" w:sz="0" w:space="0" w:color="auto"/>
        <w:bottom w:val="none" w:sz="0" w:space="0" w:color="auto"/>
        <w:right w:val="none" w:sz="0" w:space="0" w:color="auto"/>
      </w:divBdr>
    </w:div>
    <w:div w:id="1842692801">
      <w:bodyDiv w:val="1"/>
      <w:marLeft w:val="0"/>
      <w:marRight w:val="0"/>
      <w:marTop w:val="0"/>
      <w:marBottom w:val="0"/>
      <w:divBdr>
        <w:top w:val="none" w:sz="0" w:space="0" w:color="auto"/>
        <w:left w:val="none" w:sz="0" w:space="0" w:color="auto"/>
        <w:bottom w:val="none" w:sz="0" w:space="0" w:color="auto"/>
        <w:right w:val="none" w:sz="0" w:space="0" w:color="auto"/>
      </w:divBdr>
    </w:div>
    <w:div w:id="1848981782">
      <w:bodyDiv w:val="1"/>
      <w:marLeft w:val="0"/>
      <w:marRight w:val="0"/>
      <w:marTop w:val="0"/>
      <w:marBottom w:val="0"/>
      <w:divBdr>
        <w:top w:val="none" w:sz="0" w:space="0" w:color="auto"/>
        <w:left w:val="none" w:sz="0" w:space="0" w:color="auto"/>
        <w:bottom w:val="none" w:sz="0" w:space="0" w:color="auto"/>
        <w:right w:val="none" w:sz="0" w:space="0" w:color="auto"/>
      </w:divBdr>
    </w:div>
    <w:div w:id="1918707086">
      <w:bodyDiv w:val="1"/>
      <w:marLeft w:val="0"/>
      <w:marRight w:val="0"/>
      <w:marTop w:val="0"/>
      <w:marBottom w:val="0"/>
      <w:divBdr>
        <w:top w:val="none" w:sz="0" w:space="0" w:color="auto"/>
        <w:left w:val="none" w:sz="0" w:space="0" w:color="auto"/>
        <w:bottom w:val="none" w:sz="0" w:space="0" w:color="auto"/>
        <w:right w:val="none" w:sz="0" w:space="0" w:color="auto"/>
      </w:divBdr>
    </w:div>
    <w:div w:id="1952976173">
      <w:bodyDiv w:val="1"/>
      <w:marLeft w:val="0"/>
      <w:marRight w:val="0"/>
      <w:marTop w:val="0"/>
      <w:marBottom w:val="0"/>
      <w:divBdr>
        <w:top w:val="none" w:sz="0" w:space="0" w:color="auto"/>
        <w:left w:val="none" w:sz="0" w:space="0" w:color="auto"/>
        <w:bottom w:val="none" w:sz="0" w:space="0" w:color="auto"/>
        <w:right w:val="none" w:sz="0" w:space="0" w:color="auto"/>
      </w:divBdr>
    </w:div>
    <w:div w:id="1984188928">
      <w:bodyDiv w:val="1"/>
      <w:marLeft w:val="0"/>
      <w:marRight w:val="0"/>
      <w:marTop w:val="0"/>
      <w:marBottom w:val="0"/>
      <w:divBdr>
        <w:top w:val="none" w:sz="0" w:space="0" w:color="auto"/>
        <w:left w:val="none" w:sz="0" w:space="0" w:color="auto"/>
        <w:bottom w:val="none" w:sz="0" w:space="0" w:color="auto"/>
        <w:right w:val="none" w:sz="0" w:space="0" w:color="auto"/>
      </w:divBdr>
    </w:div>
    <w:div w:id="2028209570">
      <w:bodyDiv w:val="1"/>
      <w:marLeft w:val="0"/>
      <w:marRight w:val="0"/>
      <w:marTop w:val="0"/>
      <w:marBottom w:val="0"/>
      <w:divBdr>
        <w:top w:val="none" w:sz="0" w:space="0" w:color="auto"/>
        <w:left w:val="none" w:sz="0" w:space="0" w:color="auto"/>
        <w:bottom w:val="none" w:sz="0" w:space="0" w:color="auto"/>
        <w:right w:val="none" w:sz="0" w:space="0" w:color="auto"/>
      </w:divBdr>
    </w:div>
    <w:div w:id="2032560094">
      <w:bodyDiv w:val="1"/>
      <w:marLeft w:val="0"/>
      <w:marRight w:val="0"/>
      <w:marTop w:val="0"/>
      <w:marBottom w:val="0"/>
      <w:divBdr>
        <w:top w:val="none" w:sz="0" w:space="0" w:color="auto"/>
        <w:left w:val="none" w:sz="0" w:space="0" w:color="auto"/>
        <w:bottom w:val="none" w:sz="0" w:space="0" w:color="auto"/>
        <w:right w:val="none" w:sz="0" w:space="0" w:color="auto"/>
      </w:divBdr>
    </w:div>
    <w:div w:id="2064522237">
      <w:bodyDiv w:val="1"/>
      <w:marLeft w:val="0"/>
      <w:marRight w:val="0"/>
      <w:marTop w:val="0"/>
      <w:marBottom w:val="0"/>
      <w:divBdr>
        <w:top w:val="none" w:sz="0" w:space="0" w:color="auto"/>
        <w:left w:val="none" w:sz="0" w:space="0" w:color="auto"/>
        <w:bottom w:val="none" w:sz="0" w:space="0" w:color="auto"/>
        <w:right w:val="none" w:sz="0" w:space="0" w:color="auto"/>
      </w:divBdr>
    </w:div>
    <w:div w:id="2065567789">
      <w:bodyDiv w:val="1"/>
      <w:marLeft w:val="0"/>
      <w:marRight w:val="0"/>
      <w:marTop w:val="0"/>
      <w:marBottom w:val="0"/>
      <w:divBdr>
        <w:top w:val="none" w:sz="0" w:space="0" w:color="auto"/>
        <w:left w:val="none" w:sz="0" w:space="0" w:color="auto"/>
        <w:bottom w:val="none" w:sz="0" w:space="0" w:color="auto"/>
        <w:right w:val="none" w:sz="0" w:space="0" w:color="auto"/>
      </w:divBdr>
    </w:div>
    <w:div w:id="2070686154">
      <w:bodyDiv w:val="1"/>
      <w:marLeft w:val="0"/>
      <w:marRight w:val="0"/>
      <w:marTop w:val="0"/>
      <w:marBottom w:val="0"/>
      <w:divBdr>
        <w:top w:val="none" w:sz="0" w:space="0" w:color="auto"/>
        <w:left w:val="none" w:sz="0" w:space="0" w:color="auto"/>
        <w:bottom w:val="none" w:sz="0" w:space="0" w:color="auto"/>
        <w:right w:val="none" w:sz="0" w:space="0" w:color="auto"/>
      </w:divBdr>
    </w:div>
    <w:div w:id="2077821768">
      <w:bodyDiv w:val="1"/>
      <w:marLeft w:val="0"/>
      <w:marRight w:val="0"/>
      <w:marTop w:val="0"/>
      <w:marBottom w:val="0"/>
      <w:divBdr>
        <w:top w:val="none" w:sz="0" w:space="0" w:color="auto"/>
        <w:left w:val="none" w:sz="0" w:space="0" w:color="auto"/>
        <w:bottom w:val="none" w:sz="0" w:space="0" w:color="auto"/>
        <w:right w:val="none" w:sz="0" w:space="0" w:color="auto"/>
      </w:divBdr>
    </w:div>
    <w:div w:id="2111972233">
      <w:bodyDiv w:val="1"/>
      <w:marLeft w:val="0"/>
      <w:marRight w:val="0"/>
      <w:marTop w:val="0"/>
      <w:marBottom w:val="0"/>
      <w:divBdr>
        <w:top w:val="none" w:sz="0" w:space="0" w:color="auto"/>
        <w:left w:val="none" w:sz="0" w:space="0" w:color="auto"/>
        <w:bottom w:val="none" w:sz="0" w:space="0" w:color="auto"/>
        <w:right w:val="none" w:sz="0" w:space="0" w:color="auto"/>
      </w:divBdr>
    </w:div>
    <w:div w:id="213270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OneDrive%20-%20ATEB\Documents\Document%20Conversions\Thistle%20S2%20Authoris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BBB307BA941D39B52D1608A71B5AD"/>
        <w:category>
          <w:name w:val="General"/>
          <w:gallery w:val="placeholder"/>
        </w:category>
        <w:types>
          <w:type w:val="bbPlcHdr"/>
        </w:types>
        <w:behaviors>
          <w:behavior w:val="content"/>
        </w:behaviors>
        <w:guid w:val="{DAEE723F-9635-48B9-8FF4-6130169D3249}"/>
      </w:docPartPr>
      <w:docPartBody>
        <w:p w:rsidR="00026606" w:rsidRDefault="00026606">
          <w:pPr>
            <w:pStyle w:val="B39BBB307BA941D39B52D1608A71B5AD"/>
          </w:pPr>
          <w:r>
            <w:rPr>
              <w:color w:val="0F4761" w:themeColor="accent1" w:themeShade="BF"/>
            </w:rPr>
            <w:t>[Company name]</w:t>
          </w:r>
        </w:p>
      </w:docPartBody>
    </w:docPart>
    <w:docPart>
      <w:docPartPr>
        <w:name w:val="3130413232744A059B2C5EF8DA75FD67"/>
        <w:category>
          <w:name w:val="General"/>
          <w:gallery w:val="placeholder"/>
        </w:category>
        <w:types>
          <w:type w:val="bbPlcHdr"/>
        </w:types>
        <w:behaviors>
          <w:behavior w:val="content"/>
        </w:behaviors>
        <w:guid w:val="{F7FA5021-FD45-49AE-BF6B-5E846295CEC1}"/>
      </w:docPartPr>
      <w:docPartBody>
        <w:p w:rsidR="00026606" w:rsidRDefault="00026606">
          <w:pPr>
            <w:pStyle w:val="3130413232744A059B2C5EF8DA75FD67"/>
          </w:pPr>
          <w:r>
            <w:rPr>
              <w:color w:val="0F4761" w:themeColor="accent1" w:themeShade="BF"/>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Light">
    <w:altName w:val="Rockwell Light"/>
    <w:charset w:val="00"/>
    <w:family w:val="roman"/>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06"/>
    <w:rsid w:val="00026606"/>
    <w:rsid w:val="000F554F"/>
    <w:rsid w:val="001965A7"/>
    <w:rsid w:val="001B7EE7"/>
    <w:rsid w:val="001C0E23"/>
    <w:rsid w:val="002559BC"/>
    <w:rsid w:val="00261E50"/>
    <w:rsid w:val="003A76F0"/>
    <w:rsid w:val="003F0ACB"/>
    <w:rsid w:val="003F28E1"/>
    <w:rsid w:val="004338F3"/>
    <w:rsid w:val="004D3542"/>
    <w:rsid w:val="004F3F1D"/>
    <w:rsid w:val="005069C5"/>
    <w:rsid w:val="005A303A"/>
    <w:rsid w:val="005E0E69"/>
    <w:rsid w:val="006034D3"/>
    <w:rsid w:val="006151A3"/>
    <w:rsid w:val="006205E9"/>
    <w:rsid w:val="006B56BC"/>
    <w:rsid w:val="007741D7"/>
    <w:rsid w:val="007F38A5"/>
    <w:rsid w:val="008B36FD"/>
    <w:rsid w:val="008F4E42"/>
    <w:rsid w:val="00951540"/>
    <w:rsid w:val="00B2363B"/>
    <w:rsid w:val="00BA35E7"/>
    <w:rsid w:val="00CB2400"/>
    <w:rsid w:val="00DB1DC2"/>
    <w:rsid w:val="00E73AC8"/>
    <w:rsid w:val="00F91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9BBB307BA941D39B52D1608A71B5AD">
    <w:name w:val="B39BBB307BA941D39B52D1608A71B5AD"/>
  </w:style>
  <w:style w:type="paragraph" w:customStyle="1" w:styleId="3130413232744A059B2C5EF8DA75FD67">
    <w:name w:val="3130413232744A059B2C5EF8DA75F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2" ma:contentTypeDescription="Create a new document." ma:contentTypeScope="" ma:versionID="32e695a6f32b0e8e0d0561a14855f58d">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a51cd8b7f09f37087d613f7e977828e0"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0EAAB-785D-4FED-A06E-35786FF7F45F}">
  <ds:schemaRefs>
    <ds:schemaRef ds:uri="http://schemas.openxmlformats.org/officeDocument/2006/bibliography"/>
  </ds:schemaRefs>
</ds:datastoreItem>
</file>

<file path=customXml/itemProps2.xml><?xml version="1.0" encoding="utf-8"?>
<ds:datastoreItem xmlns:ds="http://schemas.openxmlformats.org/officeDocument/2006/customXml" ds:itemID="{1A3FF1B0-9608-44DE-B95F-9AC84AAB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5E8B8-CC0D-4261-8CF3-595D98E55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Thistle S2 Authorisation</Template>
  <TotalTime>0</TotalTime>
  <Pages>6</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Testing Consumer Understanding</vt:lpstr>
    </vt:vector>
  </TitlesOfParts>
  <Company>Thistle Initiatives Limited</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Consumer Understanding</dc:title>
  <dc:subject/>
  <dc:creator>Rhys Reynolds</dc:creator>
  <cp:keywords/>
  <dc:description/>
  <cp:lastModifiedBy>Lisa Cross</cp:lastModifiedBy>
  <cp:revision>4</cp:revision>
  <cp:lastPrinted>2025-03-25T14:22:00Z</cp:lastPrinted>
  <dcterms:created xsi:type="dcterms:W3CDTF">2026-05-08T12:07:00Z</dcterms:created>
  <dcterms:modified xsi:type="dcterms:W3CDTF">2026-05-11T11:32:00Z</dcterms:modified>
</cp:coreProperties>
</file>