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E725" w14:textId="3960667B" w:rsidR="00FF757D" w:rsidRPr="00975836" w:rsidRDefault="00FF757D" w:rsidP="00FF757D">
      <w:pPr>
        <w:pStyle w:val="TemplateHeaderReplace"/>
        <w:tabs>
          <w:tab w:val="left" w:pos="924"/>
        </w:tabs>
        <w:ind w:left="0" w:right="567"/>
        <w:rPr>
          <w:rFonts w:cs="Arial"/>
        </w:rPr>
      </w:pPr>
      <w:r w:rsidRPr="00975836">
        <w:rPr>
          <w:rFonts w:cs="Arial"/>
          <w:b w:val="0"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8C85D01" wp14:editId="42484CDB">
            <wp:simplePos x="0" y="0"/>
            <wp:positionH relativeFrom="page">
              <wp:align>left</wp:align>
            </wp:positionH>
            <wp:positionV relativeFrom="page">
              <wp:posOffset>133985</wp:posOffset>
            </wp:positionV>
            <wp:extent cx="7554450" cy="1795452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50" cy="179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F69E9" w14:textId="2F3C5A49" w:rsidR="00FF757D" w:rsidRPr="00975836" w:rsidRDefault="00FF757D" w:rsidP="00FF757D">
      <w:pPr>
        <w:pStyle w:val="TemplateHeaderReplace"/>
        <w:ind w:left="0" w:right="567"/>
        <w:rPr>
          <w:rFonts w:cs="Arial"/>
        </w:rPr>
      </w:pPr>
    </w:p>
    <w:p w14:paraId="0C1EBFAD" w14:textId="6AB95508" w:rsidR="00FF757D" w:rsidRPr="00975836" w:rsidRDefault="00FF757D" w:rsidP="00FF757D">
      <w:pPr>
        <w:pStyle w:val="TemplateHeaderReplace"/>
        <w:tabs>
          <w:tab w:val="left" w:pos="2700"/>
        </w:tabs>
        <w:ind w:left="0" w:right="567"/>
        <w:rPr>
          <w:rFonts w:cs="Arial"/>
        </w:rPr>
      </w:pPr>
      <w:r>
        <w:rPr>
          <w:rFonts w:cs="Arial"/>
        </w:rPr>
        <w:tab/>
      </w:r>
    </w:p>
    <w:p w14:paraId="12AC13E3" w14:textId="77777777" w:rsidR="00FF757D" w:rsidRPr="00975836" w:rsidRDefault="00FF757D" w:rsidP="00FF757D">
      <w:pPr>
        <w:pStyle w:val="TemplateHeaderReplace"/>
        <w:ind w:left="0" w:right="567"/>
        <w:rPr>
          <w:rFonts w:cs="Arial"/>
        </w:rPr>
      </w:pPr>
    </w:p>
    <w:p w14:paraId="4A0DD9E1" w14:textId="2287F126" w:rsidR="00FF757D" w:rsidRPr="00FF757D" w:rsidRDefault="00FF757D" w:rsidP="00FF757D">
      <w:pPr>
        <w:pStyle w:val="TemplateHeaderReplace"/>
        <w:ind w:left="0" w:right="567"/>
        <w:jc w:val="left"/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</w:pPr>
      <w:r w:rsidRPr="00FF757D"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t>Appointed Representative (AR) Termination and Wind</w:t>
      </w:r>
      <w:r w:rsidRPr="00FF757D"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noBreakHyphen/>
        <w:t>Down Procedures</w:t>
      </w:r>
    </w:p>
    <w:tbl>
      <w:tblPr>
        <w:tblStyle w:val="TableGrid"/>
        <w:tblpPr w:leftFromText="180" w:rightFromText="180" w:vertAnchor="text" w:horzAnchor="margin" w:tblpYSpec="outsi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3"/>
      </w:tblGrid>
      <w:tr w:rsidR="00FF757D" w:rsidRPr="00975836" w14:paraId="28D916C0" w14:textId="77777777" w:rsidTr="00D04B4E">
        <w:tc>
          <w:tcPr>
            <w:tcW w:w="8813" w:type="dxa"/>
            <w:tcBorders>
              <w:top w:val="single" w:sz="4" w:space="0" w:color="46DCDC"/>
            </w:tcBorders>
          </w:tcPr>
          <w:p w14:paraId="106C6130" w14:textId="77777777" w:rsidR="00FF757D" w:rsidRPr="00975836" w:rsidRDefault="00FF757D" w:rsidP="00D04B4E">
            <w:pPr>
              <w:ind w:left="-567" w:right="567"/>
              <w:rPr>
                <w:rFonts w:cs="Arial"/>
                <w:b/>
                <w:sz w:val="22"/>
              </w:rPr>
            </w:pPr>
          </w:p>
        </w:tc>
      </w:tr>
      <w:tr w:rsidR="00FF757D" w:rsidRPr="00975836" w14:paraId="0813A116" w14:textId="77777777" w:rsidTr="00D04B4E">
        <w:tc>
          <w:tcPr>
            <w:tcW w:w="8813" w:type="dxa"/>
          </w:tcPr>
          <w:p w14:paraId="2B4A92F3" w14:textId="77777777" w:rsidR="00FF757D" w:rsidRPr="00975836" w:rsidRDefault="00FF757D" w:rsidP="00D04B4E">
            <w:pPr>
              <w:ind w:right="567"/>
              <w:rPr>
                <w:rFonts w:cs="Arial"/>
                <w:b/>
                <w:sz w:val="28"/>
                <w:szCs w:val="28"/>
              </w:rPr>
            </w:pPr>
            <w:r w:rsidRPr="00975836">
              <w:rPr>
                <w:rFonts w:cs="Arial"/>
                <w:b/>
                <w:sz w:val="28"/>
                <w:szCs w:val="28"/>
              </w:rPr>
              <w:t xml:space="preserve">Template Guidance Notes </w:t>
            </w:r>
          </w:p>
          <w:p w14:paraId="233D117C" w14:textId="0AD859E8" w:rsidR="00FF757D" w:rsidRPr="00FF757D" w:rsidRDefault="00FF757D" w:rsidP="00FF757D">
            <w:pPr>
              <w:pStyle w:val="TemplateHeaderReplace"/>
              <w:ind w:left="0" w:right="567"/>
              <w:jc w:val="left"/>
              <w:rPr>
                <w:rFonts w:asciiTheme="minorHAnsi" w:hAnsiTheme="minorHAnsi"/>
                <w:b w:val="0"/>
                <w:color w:val="auto"/>
                <w:sz w:val="22"/>
                <w:szCs w:val="22"/>
                <w:lang w:bidi="en-US"/>
              </w:rPr>
            </w:pPr>
            <w:r w:rsidRPr="00FF757D">
              <w:rPr>
                <w:rFonts w:asciiTheme="minorHAnsi" w:hAnsiTheme="minorHAnsi"/>
                <w:b w:val="0"/>
                <w:color w:val="auto"/>
                <w:sz w:val="22"/>
                <w:szCs w:val="22"/>
                <w:lang w:bidi="en-US"/>
              </w:rPr>
              <w:t>Use this template as a base to document your firm’s  Appointed Representative (AR) Termination and Wind</w:t>
            </w:r>
            <w:r w:rsidRPr="00FF757D">
              <w:rPr>
                <w:rFonts w:asciiTheme="minorHAnsi" w:hAnsiTheme="minorHAnsi"/>
                <w:b w:val="0"/>
                <w:color w:val="auto"/>
                <w:sz w:val="22"/>
                <w:szCs w:val="22"/>
                <w:lang w:bidi="en-US"/>
              </w:rPr>
              <w:noBreakHyphen/>
              <w:t>Down Procedures</w:t>
            </w:r>
          </w:p>
          <w:p w14:paraId="66F44DE4" w14:textId="658BFB82" w:rsidR="00FF757D" w:rsidRPr="007E7545" w:rsidRDefault="00FF757D" w:rsidP="00D04B4E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should be modified to suit your requirements. It is not designed to be definitive.</w:t>
            </w:r>
          </w:p>
          <w:p w14:paraId="455D06F5" w14:textId="77777777" w:rsidR="00FF757D" w:rsidRPr="007E7545" w:rsidRDefault="00FF757D" w:rsidP="00D04B4E">
            <w:pPr>
              <w:rPr>
                <w:rFonts w:asciiTheme="minorHAnsi" w:hAnsiTheme="minorHAnsi" w:cstheme="minorHAnsi"/>
                <w:sz w:val="22"/>
                <w:szCs w:val="22"/>
                <w:lang w:bidi="en-US"/>
              </w:rPr>
            </w:pPr>
            <w:r w:rsidRPr="007E7545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It should be completed and signed-off by principals of the firm.</w:t>
            </w:r>
          </w:p>
          <w:p w14:paraId="1CE0CAC2" w14:textId="77777777" w:rsidR="00FF757D" w:rsidRPr="00FF757D" w:rsidRDefault="00FF757D" w:rsidP="00D04B4E">
            <w:pPr>
              <w:rPr>
                <w:rFonts w:asciiTheme="minorHAnsi" w:hAnsiTheme="minorHAnsi" w:cstheme="minorHAnsi"/>
                <w:color w:val="EE0000"/>
                <w:sz w:val="22"/>
                <w:szCs w:val="22"/>
                <w:lang w:bidi="en-US"/>
              </w:rPr>
            </w:pPr>
            <w:r w:rsidRPr="00FF757D">
              <w:rPr>
                <w:rFonts w:asciiTheme="minorHAnsi" w:hAnsiTheme="minorHAnsi" w:cstheme="minorHAnsi"/>
                <w:color w:val="EE0000"/>
                <w:sz w:val="22"/>
                <w:szCs w:val="22"/>
                <w:lang w:bidi="en-US"/>
              </w:rPr>
              <w:t>Red text indicates personalisation is required.</w:t>
            </w:r>
          </w:p>
          <w:p w14:paraId="76CF4193" w14:textId="77777777" w:rsidR="00FF757D" w:rsidRPr="00975836" w:rsidRDefault="00FF757D" w:rsidP="00D04B4E">
            <w:pPr>
              <w:ind w:right="567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417860E" w14:textId="77777777" w:rsidR="00FF757D" w:rsidRPr="00975836" w:rsidRDefault="00FF757D" w:rsidP="00FF757D">
      <w:pPr>
        <w:pStyle w:val="TemplateHeaderReplace"/>
        <w:ind w:left="0" w:right="567"/>
        <w:rPr>
          <w:rFonts w:cs="Arial"/>
        </w:rPr>
      </w:pPr>
    </w:p>
    <w:p w14:paraId="457EC8B6" w14:textId="77777777" w:rsidR="00FF757D" w:rsidRPr="00975836" w:rsidRDefault="00FF757D" w:rsidP="00FF757D">
      <w:pPr>
        <w:spacing w:line="259" w:lineRule="auto"/>
        <w:rPr>
          <w:rFonts w:cs="Arial"/>
          <w:b/>
          <w:color w:val="DC2C5C"/>
          <w:sz w:val="44"/>
          <w:szCs w:val="44"/>
        </w:rPr>
      </w:pPr>
      <w:r w:rsidRPr="00975836">
        <w:rPr>
          <w:rFonts w:cs="Arial"/>
        </w:rPr>
        <w:br w:type="page"/>
      </w:r>
    </w:p>
    <w:p w14:paraId="2BE6D140" w14:textId="77777777" w:rsidR="00FF757D" w:rsidRPr="00975836" w:rsidRDefault="00FF757D" w:rsidP="00FF757D">
      <w:pPr>
        <w:pStyle w:val="Heading1"/>
      </w:pPr>
    </w:p>
    <w:p w14:paraId="50F643A3" w14:textId="77777777" w:rsidR="00FF757D" w:rsidRPr="00975836" w:rsidRDefault="00FF757D" w:rsidP="00FF757D">
      <w:pPr>
        <w:pStyle w:val="Heading1"/>
      </w:pPr>
    </w:p>
    <w:p w14:paraId="128DB7AF" w14:textId="77777777" w:rsidR="00FF757D" w:rsidRPr="00975836" w:rsidRDefault="00FF757D" w:rsidP="00FF757D">
      <w:pPr>
        <w:pStyle w:val="Heading1"/>
      </w:pPr>
    </w:p>
    <w:p w14:paraId="61CC6487" w14:textId="77777777" w:rsidR="00FF757D" w:rsidRPr="00975836" w:rsidRDefault="00FF757D" w:rsidP="00FF757D">
      <w:pPr>
        <w:pStyle w:val="Heading1"/>
      </w:pPr>
    </w:p>
    <w:p w14:paraId="79397278" w14:textId="77777777" w:rsidR="00FF757D" w:rsidRPr="00975836" w:rsidRDefault="00FF757D" w:rsidP="00FF757D">
      <w:pPr>
        <w:rPr>
          <w:rFonts w:cs="Arial"/>
          <w:b/>
          <w:bCs/>
          <w:color w:val="156082" w:themeColor="accent1"/>
          <w:sz w:val="44"/>
          <w:szCs w:val="44"/>
        </w:rPr>
      </w:pPr>
      <w:r w:rsidRPr="00975836">
        <w:rPr>
          <w:rFonts w:cs="Arial"/>
          <w:b/>
          <w:bCs/>
          <w:color w:val="156082" w:themeColor="accent1"/>
          <w:sz w:val="44"/>
          <w:szCs w:val="44"/>
        </w:rPr>
        <w:t>Firm Name</w:t>
      </w:r>
    </w:p>
    <w:p w14:paraId="1BB7456F" w14:textId="77777777" w:rsidR="00FF757D" w:rsidRPr="00FF757D" w:rsidRDefault="00FF757D" w:rsidP="00FF757D">
      <w:pPr>
        <w:pStyle w:val="TemplateHeaderReplace"/>
        <w:ind w:left="0" w:right="567"/>
        <w:jc w:val="left"/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</w:pPr>
      <w:r w:rsidRPr="00FF757D"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t>Appointed Representative (AR) Termination and Wind</w:t>
      </w:r>
      <w:r w:rsidRPr="00FF757D">
        <w:rPr>
          <w:rFonts w:asciiTheme="minorHAnsi" w:eastAsiaTheme="minorHAnsi" w:hAnsiTheme="minorHAnsi" w:cs="Arial"/>
          <w:bCs/>
          <w:color w:val="auto"/>
          <w:kern w:val="2"/>
          <w:sz w:val="56"/>
          <w:szCs w:val="56"/>
          <w:lang w:val="en-US"/>
          <w14:ligatures w14:val="standardContextual"/>
        </w:rPr>
        <w:noBreakHyphen/>
        <w:t>Down Procedures</w:t>
      </w:r>
    </w:p>
    <w:p w14:paraId="3429B27A" w14:textId="77777777" w:rsidR="00FF757D" w:rsidRPr="00975836" w:rsidRDefault="00FF757D" w:rsidP="00FF757D">
      <w:pPr>
        <w:rPr>
          <w:rFonts w:cs="Arial"/>
          <w:b/>
          <w:bCs/>
          <w:color w:val="156082" w:themeColor="accent1"/>
          <w:lang w:bidi="en-US"/>
        </w:rPr>
      </w:pPr>
      <w:r w:rsidRPr="00975836">
        <w:rPr>
          <w:rFonts w:cs="Arial"/>
          <w:b/>
          <w:bCs/>
          <w:color w:val="156082" w:themeColor="accent1"/>
          <w:lang w:bidi="en-US"/>
        </w:rPr>
        <w:t>Month / Year</w:t>
      </w:r>
    </w:p>
    <w:p w14:paraId="3EB0B1B6" w14:textId="77777777" w:rsidR="00FF757D" w:rsidRPr="00975836" w:rsidRDefault="00FF757D" w:rsidP="00FF757D">
      <w:pPr>
        <w:rPr>
          <w:rFonts w:cs="Arial"/>
        </w:rPr>
      </w:pPr>
    </w:p>
    <w:p w14:paraId="1B9E6039" w14:textId="77777777" w:rsidR="00FF757D" w:rsidRPr="00975836" w:rsidRDefault="00FF757D" w:rsidP="00FF757D">
      <w:pPr>
        <w:pStyle w:val="TemplateHeader"/>
        <w:ind w:left="0" w:right="567"/>
        <w:rPr>
          <w:rFonts w:cs="Arial"/>
        </w:rPr>
      </w:pPr>
    </w:p>
    <w:p w14:paraId="25DE1AAA" w14:textId="77777777" w:rsidR="00FF757D" w:rsidRDefault="00FF757D" w:rsidP="00FF757D">
      <w:pPr>
        <w:spacing w:line="259" w:lineRule="auto"/>
        <w:rPr>
          <w:rFonts w:cs="Arial"/>
          <w:b/>
          <w:color w:val="000000" w:themeColor="text1"/>
          <w:sz w:val="44"/>
          <w:szCs w:val="44"/>
        </w:rPr>
      </w:pPr>
      <w:r>
        <w:rPr>
          <w:rFonts w:cs="Arial"/>
        </w:rPr>
        <w:br w:type="page"/>
      </w:r>
    </w:p>
    <w:p w14:paraId="339BC620" w14:textId="274F4BEE" w:rsidR="00B11AAE" w:rsidRDefault="00B11AAE">
      <w:pPr>
        <w:pStyle w:val="TOC1"/>
        <w:tabs>
          <w:tab w:val="left" w:pos="480"/>
          <w:tab w:val="right" w:leader="dot" w:pos="9350"/>
        </w:tabs>
        <w:rPr>
          <w:noProof/>
        </w:rPr>
      </w:pPr>
      <w:r>
        <w:lastRenderedPageBreak/>
        <w:fldChar w:fldCharType="begin"/>
      </w:r>
      <w:r>
        <w:instrText xml:space="preserve"> TOC \o "1-3" \h \z \u </w:instrText>
      </w:r>
      <w:r>
        <w:fldChar w:fldCharType="separate"/>
      </w:r>
      <w:hyperlink w:anchor="_Toc224226599" w:history="1">
        <w:r w:rsidRPr="003053F1">
          <w:rPr>
            <w:rStyle w:val="Hyperlink"/>
            <w:noProof/>
          </w:rPr>
          <w:t>1.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0C8BD1" w14:textId="0B1C7C38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0" w:history="1">
        <w:r w:rsidRPr="003053F1">
          <w:rPr>
            <w:rStyle w:val="Hyperlink"/>
            <w:noProof/>
          </w:rPr>
          <w:t>1.1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Trigger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5CDB18" w14:textId="57CD0519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1" w:history="1">
        <w:r w:rsidRPr="003053F1">
          <w:rPr>
            <w:rStyle w:val="Hyperlink"/>
            <w:noProof/>
          </w:rPr>
          <w:t>1.2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Decision</w:t>
        </w:r>
        <w:r w:rsidRPr="003053F1">
          <w:rPr>
            <w:rStyle w:val="Hyperlink"/>
            <w:noProof/>
          </w:rPr>
          <w:noBreakHyphen/>
          <w:t>Making and Governance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4DFF75" w14:textId="70E3F836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2" w:history="1">
        <w:r w:rsidRPr="003053F1">
          <w:rPr>
            <w:rStyle w:val="Hyperlink"/>
            <w:noProof/>
          </w:rPr>
          <w:t>1.3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Regulatory and Contractual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4E203E" w14:textId="09DCF97E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3" w:history="1">
        <w:r w:rsidRPr="003053F1">
          <w:rPr>
            <w:rStyle w:val="Hyperlink"/>
            <w:noProof/>
          </w:rPr>
          <w:t>1.4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Client and Consumer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37C437" w14:textId="4DE297DB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4" w:history="1">
        <w:r w:rsidRPr="003053F1">
          <w:rPr>
            <w:rStyle w:val="Hyperlink"/>
            <w:noProof/>
          </w:rPr>
          <w:t>1.5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Records, Data, and Assets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6F35B8" w14:textId="59F1DA50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5" w:history="1">
        <w:r w:rsidRPr="003053F1">
          <w:rPr>
            <w:rStyle w:val="Hyperlink"/>
            <w:noProof/>
          </w:rPr>
          <w:t>1.6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Completion of Wind</w:t>
        </w:r>
        <w:r w:rsidRPr="003053F1">
          <w:rPr>
            <w:rStyle w:val="Hyperlink"/>
            <w:noProof/>
          </w:rPr>
          <w:noBreakHyphen/>
          <w:t>Down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6C8F1E" w14:textId="793EF003" w:rsidR="00B11AAE" w:rsidRDefault="00B11AAE">
      <w:pPr>
        <w:pStyle w:val="TOC1"/>
        <w:tabs>
          <w:tab w:val="left" w:pos="480"/>
          <w:tab w:val="right" w:leader="dot" w:pos="9350"/>
        </w:tabs>
        <w:rPr>
          <w:noProof/>
        </w:rPr>
      </w:pPr>
      <w:hyperlink w:anchor="_Toc224226606" w:history="1">
        <w:r w:rsidRPr="003053F1">
          <w:rPr>
            <w:rStyle w:val="Hyperlink"/>
            <w:noProof/>
          </w:rPr>
          <w:t>2.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Appointed Representative Oversight Policy (AR</w:t>
        </w:r>
        <w:r w:rsidRPr="003053F1">
          <w:rPr>
            <w:rStyle w:val="Hyperlink"/>
            <w:noProof/>
          </w:rPr>
          <w:noBreakHyphen/>
          <w:t>Facing Summary)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BB3004" w14:textId="2853BE3C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7" w:history="1">
        <w:r w:rsidRPr="003053F1">
          <w:rPr>
            <w:rStyle w:val="Hyperlink"/>
            <w:noProof/>
          </w:rPr>
          <w:t>2.1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2DD32F" w14:textId="6D7219FD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08" w:history="1">
        <w:r w:rsidRPr="003053F1">
          <w:rPr>
            <w:rStyle w:val="Hyperlink"/>
            <w:noProof/>
          </w:rPr>
          <w:t>2.2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Principal Accountability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10B81BA" w14:textId="5D7F0B78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09" w:history="1">
        <w:r w:rsidRPr="003053F1">
          <w:rPr>
            <w:rStyle w:val="Hyperlink"/>
            <w:noProof/>
          </w:rPr>
          <w:t>2.3 Oversight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7C7344" w14:textId="75A1ABE5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0" w:history="1">
        <w:r w:rsidRPr="003053F1">
          <w:rPr>
            <w:rStyle w:val="Hyperlink"/>
            <w:noProof/>
          </w:rPr>
          <w:t>2.4 Ongoing Monitoring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5EE879" w14:textId="49D1CEDB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1" w:history="1">
        <w:r w:rsidRPr="003053F1">
          <w:rPr>
            <w:rStyle w:val="Hyperlink"/>
            <w:noProof/>
          </w:rPr>
          <w:t>2.5 Training and Competence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A092B99" w14:textId="5138FCF5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2" w:history="1">
        <w:r w:rsidRPr="003053F1">
          <w:rPr>
            <w:rStyle w:val="Hyperlink"/>
            <w:noProof/>
          </w:rPr>
          <w:t>2.6 Information and Access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DA448E" w14:textId="31EB4C91" w:rsidR="00B11AAE" w:rsidRDefault="00B11AAE">
      <w:pPr>
        <w:pStyle w:val="TOC1"/>
        <w:tabs>
          <w:tab w:val="left" w:pos="480"/>
          <w:tab w:val="right" w:leader="dot" w:pos="9350"/>
        </w:tabs>
        <w:rPr>
          <w:noProof/>
        </w:rPr>
      </w:pPr>
      <w:hyperlink w:anchor="_Toc224226613" w:history="1">
        <w:r w:rsidRPr="003053F1">
          <w:rPr>
            <w:rStyle w:val="Hyperlink"/>
            <w:noProof/>
          </w:rPr>
          <w:t>3.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Breach Identification, Reporting, and Escalation Procedures (ARs)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84C95C" w14:textId="3363C212" w:rsidR="00B11AAE" w:rsidRDefault="00B11AAE">
      <w:pPr>
        <w:pStyle w:val="TOC2"/>
        <w:tabs>
          <w:tab w:val="left" w:pos="960"/>
          <w:tab w:val="right" w:leader="dot" w:pos="9350"/>
        </w:tabs>
        <w:rPr>
          <w:noProof/>
        </w:rPr>
      </w:pPr>
      <w:hyperlink w:anchor="_Toc224226614" w:history="1">
        <w:r w:rsidRPr="003053F1">
          <w:rPr>
            <w:rStyle w:val="Hyperlink"/>
            <w:noProof/>
          </w:rPr>
          <w:t>3.1</w:t>
        </w:r>
        <w:r>
          <w:rPr>
            <w:noProof/>
          </w:rPr>
          <w:tab/>
        </w:r>
        <w:r w:rsidRPr="003053F1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D2DBD18" w14:textId="780317DA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5" w:history="1">
        <w:r w:rsidRPr="003053F1">
          <w:rPr>
            <w:rStyle w:val="Hyperlink"/>
            <w:noProof/>
          </w:rPr>
          <w:t>3.2 What Must Be Reported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BC0023" w14:textId="6D636A0A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6" w:history="1">
        <w:r w:rsidRPr="003053F1">
          <w:rPr>
            <w:rStyle w:val="Hyperlink"/>
            <w:noProof/>
          </w:rPr>
          <w:t>3.3 Initial Escalation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5DFDF3" w14:textId="70B00DB2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7" w:history="1">
        <w:r w:rsidRPr="003053F1">
          <w:rPr>
            <w:rStyle w:val="Hyperlink"/>
            <w:noProof/>
          </w:rPr>
          <w:t>3.4 Assessment and Classification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9E45F2C" w14:textId="0209F1F3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8" w:history="1">
        <w:r w:rsidRPr="003053F1">
          <w:rPr>
            <w:rStyle w:val="Hyperlink"/>
            <w:noProof/>
          </w:rPr>
          <w:t>3.5 Remediation and Oversight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23D341" w14:textId="06581C4D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19" w:history="1">
        <w:r w:rsidRPr="003053F1">
          <w:rPr>
            <w:rStyle w:val="Hyperlink"/>
            <w:noProof/>
          </w:rPr>
          <w:t>3.6 Escalation and Enforcement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E6C4E44" w14:textId="76084723" w:rsidR="00B11AAE" w:rsidRDefault="00B11AAE">
      <w:pPr>
        <w:pStyle w:val="TOC2"/>
        <w:tabs>
          <w:tab w:val="right" w:leader="dot" w:pos="9350"/>
        </w:tabs>
        <w:rPr>
          <w:noProof/>
        </w:rPr>
      </w:pPr>
      <w:hyperlink w:anchor="_Toc224226620" w:history="1">
        <w:r w:rsidRPr="003053F1">
          <w:rPr>
            <w:rStyle w:val="Hyperlink"/>
            <w:noProof/>
          </w:rPr>
          <w:t>3.7 Record Keeping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_Toc224226620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3698DC" w14:textId="3C033E86" w:rsidR="00FF757D" w:rsidRPr="00FF757D" w:rsidRDefault="00B11AAE" w:rsidP="00FF757D">
      <w:r>
        <w:fldChar w:fldCharType="end"/>
      </w:r>
    </w:p>
    <w:p w14:paraId="5F2A2B65" w14:textId="77777777" w:rsidR="00FF757D" w:rsidRDefault="00FF757D" w:rsidP="00FF757D">
      <w:pPr>
        <w:rPr>
          <w:b/>
          <w:bCs/>
        </w:rPr>
      </w:pPr>
    </w:p>
    <w:p w14:paraId="0F45CBC4" w14:textId="77777777" w:rsidR="00FF757D" w:rsidRDefault="00FF757D" w:rsidP="00FF757D">
      <w:pPr>
        <w:rPr>
          <w:b/>
          <w:bCs/>
        </w:rPr>
      </w:pPr>
    </w:p>
    <w:p w14:paraId="2FFF1CA6" w14:textId="53352520" w:rsidR="00FF757D" w:rsidRPr="00FF757D" w:rsidRDefault="00FF757D" w:rsidP="00B11AAE">
      <w:pPr>
        <w:pStyle w:val="Heading1"/>
        <w:numPr>
          <w:ilvl w:val="0"/>
          <w:numId w:val="19"/>
        </w:numPr>
        <w:ind w:left="567" w:hanging="501"/>
      </w:pPr>
      <w:bookmarkStart w:id="0" w:name="_Toc224226599"/>
      <w:r w:rsidRPr="00FF757D">
        <w:lastRenderedPageBreak/>
        <w:t>Purpose</w:t>
      </w:r>
      <w:bookmarkEnd w:id="0"/>
    </w:p>
    <w:p w14:paraId="68FAD223" w14:textId="77777777" w:rsidR="00FF757D" w:rsidRPr="00FF757D" w:rsidRDefault="00FF757D" w:rsidP="00FF757D">
      <w:r w:rsidRPr="00FF757D">
        <w:t>These procedures set out how the Principal Firm will manage the orderly termination and wind</w:t>
      </w:r>
      <w:r w:rsidRPr="00FF757D">
        <w:noBreakHyphen/>
        <w:t xml:space="preserve">down of an Appointed Representative (AR) arrangement, ensuring regulatory compliance, continuity of service where appropriate, and </w:t>
      </w:r>
      <w:proofErr w:type="spellStart"/>
      <w:r w:rsidRPr="00FF757D">
        <w:t>minimisation</w:t>
      </w:r>
      <w:proofErr w:type="spellEnd"/>
      <w:r w:rsidRPr="00FF757D">
        <w:t xml:space="preserve"> of consumer harm.</w:t>
      </w:r>
    </w:p>
    <w:p w14:paraId="795C6DA4" w14:textId="6B8CF63E" w:rsidR="00FF757D" w:rsidRPr="00FF757D" w:rsidRDefault="00FF757D" w:rsidP="00B11AAE">
      <w:pPr>
        <w:pStyle w:val="Heading2"/>
        <w:ind w:left="567" w:hanging="567"/>
      </w:pPr>
      <w:bookmarkStart w:id="1" w:name="_Toc224226600"/>
      <w:r w:rsidRPr="00FF757D">
        <w:t>1.</w:t>
      </w:r>
      <w:r>
        <w:t>1</w:t>
      </w:r>
      <w:r w:rsidR="00B11AAE">
        <w:tab/>
      </w:r>
      <w:r w:rsidRPr="00FF757D">
        <w:t>Trigger Events</w:t>
      </w:r>
      <w:bookmarkEnd w:id="1"/>
    </w:p>
    <w:p w14:paraId="69E7201E" w14:textId="77777777" w:rsidR="00FF757D" w:rsidRPr="00FF757D" w:rsidRDefault="00FF757D" w:rsidP="00FF757D">
      <w:r w:rsidRPr="00FF757D">
        <w:t>Termination or wind</w:t>
      </w:r>
      <w:r w:rsidRPr="00FF757D">
        <w:noBreakHyphen/>
        <w:t>down may be initiated where:</w:t>
      </w:r>
    </w:p>
    <w:p w14:paraId="62C7FC55" w14:textId="77777777" w:rsidR="00FF757D" w:rsidRPr="00FF757D" w:rsidRDefault="00FF757D" w:rsidP="00B11AAE">
      <w:pPr>
        <w:numPr>
          <w:ilvl w:val="0"/>
          <w:numId w:val="2"/>
        </w:numPr>
        <w:tabs>
          <w:tab w:val="clear" w:pos="720"/>
          <w:tab w:val="num" w:pos="426"/>
        </w:tabs>
        <w:ind w:left="426"/>
      </w:pPr>
      <w:r w:rsidRPr="00FF757D">
        <w:t>the AR breaches the AR Agreement or regulatory requirements;</w:t>
      </w:r>
    </w:p>
    <w:p w14:paraId="2D283620" w14:textId="77777777" w:rsidR="00FF757D" w:rsidRPr="00FF757D" w:rsidRDefault="00FF757D" w:rsidP="00B11AAE">
      <w:pPr>
        <w:numPr>
          <w:ilvl w:val="0"/>
          <w:numId w:val="2"/>
        </w:numPr>
        <w:tabs>
          <w:tab w:val="clear" w:pos="720"/>
          <w:tab w:val="num" w:pos="426"/>
        </w:tabs>
        <w:ind w:left="426"/>
      </w:pPr>
      <w:r w:rsidRPr="00FF757D">
        <w:t>the AR is no longer financially viable or operationally sustainable;</w:t>
      </w:r>
    </w:p>
    <w:p w14:paraId="7AB13D04" w14:textId="77777777" w:rsidR="00FF757D" w:rsidRPr="00FF757D" w:rsidRDefault="00FF757D" w:rsidP="00B11AAE">
      <w:pPr>
        <w:numPr>
          <w:ilvl w:val="0"/>
          <w:numId w:val="2"/>
        </w:numPr>
        <w:tabs>
          <w:tab w:val="clear" w:pos="720"/>
          <w:tab w:val="num" w:pos="426"/>
        </w:tabs>
        <w:ind w:left="426"/>
      </w:pPr>
      <w:r w:rsidRPr="00FF757D">
        <w:t>significant governance, conduct, or Consumer Duty risks are identified;</w:t>
      </w:r>
    </w:p>
    <w:p w14:paraId="7C7EC905" w14:textId="77777777" w:rsidR="00FF757D" w:rsidRPr="00FF757D" w:rsidRDefault="00FF757D" w:rsidP="00B11AAE">
      <w:pPr>
        <w:numPr>
          <w:ilvl w:val="0"/>
          <w:numId w:val="2"/>
        </w:numPr>
        <w:tabs>
          <w:tab w:val="clear" w:pos="720"/>
          <w:tab w:val="num" w:pos="426"/>
        </w:tabs>
        <w:ind w:left="426"/>
      </w:pPr>
      <w:r w:rsidRPr="00FF757D">
        <w:t>the AR or the Principal elects to terminate the relationship; or</w:t>
      </w:r>
    </w:p>
    <w:p w14:paraId="26F2CDB6" w14:textId="77777777" w:rsidR="00FF757D" w:rsidRPr="00FF757D" w:rsidRDefault="00FF757D" w:rsidP="00B11AAE">
      <w:pPr>
        <w:numPr>
          <w:ilvl w:val="0"/>
          <w:numId w:val="2"/>
        </w:numPr>
        <w:tabs>
          <w:tab w:val="clear" w:pos="720"/>
          <w:tab w:val="num" w:pos="426"/>
        </w:tabs>
        <w:ind w:left="426"/>
      </w:pPr>
      <w:r w:rsidRPr="00FF757D">
        <w:t>the Principal Firm activates its wider Wind</w:t>
      </w:r>
      <w:r w:rsidRPr="00FF757D">
        <w:noBreakHyphen/>
        <w:t>Down Plan.</w:t>
      </w:r>
    </w:p>
    <w:p w14:paraId="4BCA9390" w14:textId="60AFB7F4" w:rsidR="00FF757D" w:rsidRPr="00FF757D" w:rsidRDefault="00FF757D" w:rsidP="00B11AAE">
      <w:pPr>
        <w:pStyle w:val="Heading2"/>
        <w:ind w:left="567" w:hanging="567"/>
      </w:pPr>
      <w:bookmarkStart w:id="2" w:name="_Toc224226601"/>
      <w:r w:rsidRPr="00FF757D">
        <w:t>1.</w:t>
      </w:r>
      <w:r>
        <w:t>2</w:t>
      </w:r>
      <w:r w:rsidR="00B11AAE">
        <w:tab/>
      </w:r>
      <w:r w:rsidRPr="00FF757D">
        <w:t>Decision</w:t>
      </w:r>
      <w:r w:rsidRPr="00FF757D">
        <w:noBreakHyphen/>
        <w:t>Making and Governance</w:t>
      </w:r>
      <w:bookmarkEnd w:id="2"/>
    </w:p>
    <w:p w14:paraId="358BC9FD" w14:textId="77777777" w:rsidR="00FF757D" w:rsidRPr="00FF757D" w:rsidRDefault="00FF757D" w:rsidP="00B11AAE">
      <w:pPr>
        <w:numPr>
          <w:ilvl w:val="0"/>
          <w:numId w:val="3"/>
        </w:numPr>
        <w:tabs>
          <w:tab w:val="clear" w:pos="720"/>
        </w:tabs>
        <w:ind w:left="426"/>
      </w:pPr>
      <w:r w:rsidRPr="00FF757D">
        <w:t>All AR termination decisions must be approved by the Board or delegated committee.</w:t>
      </w:r>
    </w:p>
    <w:p w14:paraId="4ED0BE1C" w14:textId="77777777" w:rsidR="00FF757D" w:rsidRPr="00FF757D" w:rsidRDefault="00FF757D" w:rsidP="00B11AAE">
      <w:pPr>
        <w:numPr>
          <w:ilvl w:val="0"/>
          <w:numId w:val="3"/>
        </w:numPr>
        <w:tabs>
          <w:tab w:val="clear" w:pos="720"/>
        </w:tabs>
        <w:ind w:left="426"/>
      </w:pPr>
      <w:r w:rsidRPr="00FF757D">
        <w:t>The Principal will assess whether termination should be immediate or subject to a managed run</w:t>
      </w:r>
      <w:r w:rsidRPr="00FF757D">
        <w:noBreakHyphen/>
        <w:t>off period.</w:t>
      </w:r>
    </w:p>
    <w:p w14:paraId="391A11C9" w14:textId="77777777" w:rsidR="00FF757D" w:rsidRPr="00FF757D" w:rsidRDefault="00FF757D" w:rsidP="00B11AAE">
      <w:pPr>
        <w:numPr>
          <w:ilvl w:val="0"/>
          <w:numId w:val="3"/>
        </w:numPr>
        <w:tabs>
          <w:tab w:val="clear" w:pos="720"/>
        </w:tabs>
        <w:ind w:left="426"/>
      </w:pPr>
      <w:r w:rsidRPr="00FF757D">
        <w:t>The assessment will consider:</w:t>
      </w:r>
    </w:p>
    <w:p w14:paraId="38292F27" w14:textId="77777777" w:rsidR="00FF757D" w:rsidRPr="00FF757D" w:rsidRDefault="00FF757D" w:rsidP="00B11AAE">
      <w:pPr>
        <w:numPr>
          <w:ilvl w:val="1"/>
          <w:numId w:val="3"/>
        </w:numPr>
        <w:tabs>
          <w:tab w:val="clear" w:pos="1440"/>
        </w:tabs>
        <w:ind w:left="851"/>
      </w:pPr>
      <w:r w:rsidRPr="00FF757D">
        <w:t>open advice cases or transactions;</w:t>
      </w:r>
    </w:p>
    <w:p w14:paraId="1F02AA8F" w14:textId="77777777" w:rsidR="00FF757D" w:rsidRPr="00FF757D" w:rsidRDefault="00FF757D" w:rsidP="00B11AAE">
      <w:pPr>
        <w:numPr>
          <w:ilvl w:val="1"/>
          <w:numId w:val="3"/>
        </w:numPr>
        <w:tabs>
          <w:tab w:val="clear" w:pos="1440"/>
        </w:tabs>
        <w:ind w:left="851"/>
      </w:pPr>
      <w:r w:rsidRPr="00FF757D">
        <w:t>ongoing servicing obligations;</w:t>
      </w:r>
    </w:p>
    <w:p w14:paraId="4455FD0D" w14:textId="77777777" w:rsidR="00FF757D" w:rsidRPr="00FF757D" w:rsidRDefault="00FF757D" w:rsidP="00B11AAE">
      <w:pPr>
        <w:numPr>
          <w:ilvl w:val="1"/>
          <w:numId w:val="3"/>
        </w:numPr>
        <w:tabs>
          <w:tab w:val="clear" w:pos="1440"/>
        </w:tabs>
        <w:ind w:left="851"/>
      </w:pPr>
      <w:r w:rsidRPr="00FF757D">
        <w:t>open complaints, remediation, or FOS exposure;</w:t>
      </w:r>
    </w:p>
    <w:p w14:paraId="31D9B20B" w14:textId="77777777" w:rsidR="00FF757D" w:rsidRPr="00FF757D" w:rsidRDefault="00FF757D" w:rsidP="00B11AAE">
      <w:pPr>
        <w:numPr>
          <w:ilvl w:val="1"/>
          <w:numId w:val="3"/>
        </w:numPr>
        <w:tabs>
          <w:tab w:val="clear" w:pos="1440"/>
        </w:tabs>
        <w:ind w:left="851"/>
      </w:pPr>
      <w:r w:rsidRPr="00FF757D">
        <w:t>data and record</w:t>
      </w:r>
      <w:r w:rsidRPr="00FF757D">
        <w:noBreakHyphen/>
        <w:t>keeping responsibilities;</w:t>
      </w:r>
    </w:p>
    <w:p w14:paraId="07900D11" w14:textId="77777777" w:rsidR="00FF757D" w:rsidRPr="00FF757D" w:rsidRDefault="00FF757D" w:rsidP="00B11AAE">
      <w:pPr>
        <w:numPr>
          <w:ilvl w:val="1"/>
          <w:numId w:val="3"/>
        </w:numPr>
        <w:tabs>
          <w:tab w:val="clear" w:pos="1440"/>
        </w:tabs>
        <w:ind w:left="851"/>
      </w:pPr>
      <w:r w:rsidRPr="00FF757D">
        <w:t>client vulnerability and dependency risks.</w:t>
      </w:r>
    </w:p>
    <w:p w14:paraId="04E2E6C7" w14:textId="07618CEE" w:rsidR="00B11AAE" w:rsidRDefault="00B11AA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468299A" w14:textId="77777777" w:rsidR="00FF757D" w:rsidRDefault="00FF757D" w:rsidP="00FF757D">
      <w:pPr>
        <w:pStyle w:val="Heading2"/>
      </w:pPr>
    </w:p>
    <w:p w14:paraId="3C51FA13" w14:textId="12658563" w:rsidR="00FF757D" w:rsidRPr="00FF757D" w:rsidRDefault="00FF757D" w:rsidP="00B11AAE">
      <w:pPr>
        <w:pStyle w:val="Heading2"/>
        <w:ind w:left="567" w:hanging="567"/>
      </w:pPr>
      <w:bookmarkStart w:id="3" w:name="_Toc224226602"/>
      <w:r w:rsidRPr="00FF757D">
        <w:t>1.</w:t>
      </w:r>
      <w:r>
        <w:t>3</w:t>
      </w:r>
      <w:r w:rsidR="00B11AAE">
        <w:tab/>
      </w:r>
      <w:r w:rsidRPr="00FF757D">
        <w:t>Regulatory and Contractual Actions</w:t>
      </w:r>
      <w:bookmarkEnd w:id="3"/>
    </w:p>
    <w:p w14:paraId="2FF38DE2" w14:textId="77777777" w:rsidR="00FF757D" w:rsidRPr="00FF757D" w:rsidRDefault="00FF757D" w:rsidP="00FF757D">
      <w:r w:rsidRPr="00FF757D">
        <w:t>Upon termination:</w:t>
      </w:r>
    </w:p>
    <w:p w14:paraId="2D96EEEB" w14:textId="77777777" w:rsidR="00FF757D" w:rsidRPr="00FF757D" w:rsidRDefault="00FF757D" w:rsidP="00B11AAE">
      <w:pPr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FF757D">
        <w:t>The FCA will be notified without undue delay of the AR cessation.</w:t>
      </w:r>
    </w:p>
    <w:p w14:paraId="125882B8" w14:textId="77777777" w:rsidR="00FF757D" w:rsidRPr="00FF757D" w:rsidRDefault="00FF757D" w:rsidP="00B11AAE">
      <w:pPr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FF757D">
        <w:t>The AR Agreement will be formally terminated in accordance with contractual notice provisions.</w:t>
      </w:r>
    </w:p>
    <w:p w14:paraId="689B7C0C" w14:textId="77777777" w:rsidR="00FF757D" w:rsidRPr="00FF757D" w:rsidRDefault="00FF757D" w:rsidP="00B11AAE">
      <w:pPr>
        <w:numPr>
          <w:ilvl w:val="0"/>
          <w:numId w:val="4"/>
        </w:numPr>
        <w:tabs>
          <w:tab w:val="clear" w:pos="720"/>
          <w:tab w:val="num" w:pos="426"/>
        </w:tabs>
        <w:ind w:left="426"/>
      </w:pPr>
      <w:r w:rsidRPr="00FF757D">
        <w:t>The Principal Firm will retain full regulatory responsibility until FCA records are updated.</w:t>
      </w:r>
    </w:p>
    <w:p w14:paraId="2FF2C2D5" w14:textId="1184240A" w:rsidR="00FF757D" w:rsidRPr="00FF757D" w:rsidRDefault="00FF757D" w:rsidP="00B11AAE">
      <w:pPr>
        <w:pStyle w:val="Heading2"/>
        <w:ind w:left="567" w:hanging="567"/>
      </w:pPr>
      <w:bookmarkStart w:id="4" w:name="_Toc224226603"/>
      <w:r w:rsidRPr="00FF757D">
        <w:t>1.</w:t>
      </w:r>
      <w:r>
        <w:t>4</w:t>
      </w:r>
      <w:r w:rsidR="00B11AAE">
        <w:tab/>
      </w:r>
      <w:r w:rsidRPr="00FF757D">
        <w:t>Client and Consumer Protection</w:t>
      </w:r>
      <w:bookmarkEnd w:id="4"/>
    </w:p>
    <w:p w14:paraId="0F29437E" w14:textId="77777777" w:rsidR="00FF757D" w:rsidRPr="00FF757D" w:rsidRDefault="00FF757D" w:rsidP="00B11AA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FF757D">
        <w:t>All client communications relating to termination must be approved by the Principal.</w:t>
      </w:r>
    </w:p>
    <w:p w14:paraId="3D0EF1A5" w14:textId="77777777" w:rsidR="00FF757D" w:rsidRPr="00FF757D" w:rsidRDefault="00FF757D" w:rsidP="00B11AA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FF757D">
        <w:t>Clients will be informed promptly of:</w:t>
      </w:r>
    </w:p>
    <w:p w14:paraId="01591B9D" w14:textId="77777777" w:rsidR="00FF757D" w:rsidRPr="00FF757D" w:rsidRDefault="00FF757D" w:rsidP="00B11AAE">
      <w:pPr>
        <w:numPr>
          <w:ilvl w:val="1"/>
          <w:numId w:val="5"/>
        </w:numPr>
        <w:tabs>
          <w:tab w:val="clear" w:pos="1440"/>
          <w:tab w:val="num" w:pos="993"/>
        </w:tabs>
        <w:ind w:left="993" w:hanging="426"/>
      </w:pPr>
      <w:r w:rsidRPr="00FF757D">
        <w:t>the AR’s status;</w:t>
      </w:r>
    </w:p>
    <w:p w14:paraId="52851340" w14:textId="77777777" w:rsidR="00FF757D" w:rsidRPr="00FF757D" w:rsidRDefault="00FF757D" w:rsidP="00B11AAE">
      <w:pPr>
        <w:numPr>
          <w:ilvl w:val="1"/>
          <w:numId w:val="5"/>
        </w:numPr>
        <w:tabs>
          <w:tab w:val="clear" w:pos="1440"/>
          <w:tab w:val="num" w:pos="993"/>
        </w:tabs>
        <w:ind w:left="993" w:hanging="426"/>
      </w:pPr>
      <w:r w:rsidRPr="00FF757D">
        <w:t>any impact on ongoing services;</w:t>
      </w:r>
    </w:p>
    <w:p w14:paraId="56406773" w14:textId="77777777" w:rsidR="00FF757D" w:rsidRPr="00FF757D" w:rsidRDefault="00FF757D" w:rsidP="00B11AAE">
      <w:pPr>
        <w:numPr>
          <w:ilvl w:val="1"/>
          <w:numId w:val="5"/>
        </w:numPr>
        <w:tabs>
          <w:tab w:val="clear" w:pos="1440"/>
          <w:tab w:val="num" w:pos="993"/>
        </w:tabs>
        <w:ind w:left="993" w:hanging="426"/>
      </w:pPr>
      <w:r w:rsidRPr="00FF757D">
        <w:t>who remains responsible for regulated activities.</w:t>
      </w:r>
    </w:p>
    <w:p w14:paraId="7FCD8CFA" w14:textId="77777777" w:rsidR="00FF757D" w:rsidRPr="00FF757D" w:rsidRDefault="00FF757D" w:rsidP="00B11AAE">
      <w:pPr>
        <w:numPr>
          <w:ilvl w:val="0"/>
          <w:numId w:val="5"/>
        </w:numPr>
        <w:tabs>
          <w:tab w:val="clear" w:pos="720"/>
          <w:tab w:val="num" w:pos="426"/>
        </w:tabs>
        <w:ind w:left="426"/>
      </w:pPr>
      <w:r w:rsidRPr="00FF757D">
        <w:t>Where appropriate, the Principal will oversee:</w:t>
      </w:r>
    </w:p>
    <w:p w14:paraId="0BA649BC" w14:textId="77777777" w:rsidR="00FF757D" w:rsidRPr="00FF757D" w:rsidRDefault="00FF757D" w:rsidP="00B11AAE">
      <w:pPr>
        <w:numPr>
          <w:ilvl w:val="1"/>
          <w:numId w:val="5"/>
        </w:numPr>
        <w:tabs>
          <w:tab w:val="clear" w:pos="1440"/>
          <w:tab w:val="num" w:pos="851"/>
        </w:tabs>
        <w:ind w:left="993" w:hanging="426"/>
      </w:pPr>
      <w:r w:rsidRPr="00FF757D">
        <w:t>the transfer of clients to another AR or the Principal firm;</w:t>
      </w:r>
    </w:p>
    <w:p w14:paraId="05676EF7" w14:textId="77777777" w:rsidR="00FF757D" w:rsidRPr="00FF757D" w:rsidRDefault="00FF757D" w:rsidP="00B11AAE">
      <w:pPr>
        <w:numPr>
          <w:ilvl w:val="1"/>
          <w:numId w:val="5"/>
        </w:numPr>
        <w:tabs>
          <w:tab w:val="clear" w:pos="1440"/>
          <w:tab w:val="num" w:pos="851"/>
        </w:tabs>
        <w:ind w:left="993" w:hanging="426"/>
      </w:pPr>
      <w:r w:rsidRPr="00FF757D">
        <w:t>continuation of servicing arrangements during run</w:t>
      </w:r>
      <w:r w:rsidRPr="00FF757D">
        <w:noBreakHyphen/>
        <w:t>off.</w:t>
      </w:r>
    </w:p>
    <w:p w14:paraId="6C18C003" w14:textId="428B3156" w:rsidR="00FF757D" w:rsidRPr="00FF757D" w:rsidRDefault="00FF757D" w:rsidP="00B11AAE">
      <w:pPr>
        <w:pStyle w:val="Heading2"/>
        <w:ind w:left="567" w:hanging="567"/>
      </w:pPr>
      <w:bookmarkStart w:id="5" w:name="_Toc224226604"/>
      <w:r w:rsidRPr="00FF757D">
        <w:t>1.</w:t>
      </w:r>
      <w:r>
        <w:t>5</w:t>
      </w:r>
      <w:r w:rsidR="00B11AAE">
        <w:tab/>
      </w:r>
      <w:r w:rsidRPr="00FF757D">
        <w:t>Records, Data, and Assets</w:t>
      </w:r>
      <w:bookmarkEnd w:id="5"/>
    </w:p>
    <w:p w14:paraId="0C8B1B78" w14:textId="77777777" w:rsidR="00FF757D" w:rsidRPr="00FF757D" w:rsidRDefault="00FF757D" w:rsidP="00B11AAE">
      <w:pPr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FF757D">
        <w:t>Client files, data, and records remain under the control of the Principal.</w:t>
      </w:r>
    </w:p>
    <w:p w14:paraId="4FA97F1E" w14:textId="77777777" w:rsidR="00FF757D" w:rsidRPr="00FF757D" w:rsidRDefault="00FF757D" w:rsidP="00B11AAE">
      <w:pPr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FF757D">
        <w:t>Data will be retained, transferred, or securely disposed of in line with regulatory and data</w:t>
      </w:r>
      <w:r w:rsidRPr="00FF757D">
        <w:noBreakHyphen/>
        <w:t>protection requirements.</w:t>
      </w:r>
    </w:p>
    <w:p w14:paraId="347E8867" w14:textId="77777777" w:rsidR="00FF757D" w:rsidRPr="00FF757D" w:rsidRDefault="00FF757D" w:rsidP="00B11AAE">
      <w:pPr>
        <w:numPr>
          <w:ilvl w:val="0"/>
          <w:numId w:val="6"/>
        </w:numPr>
        <w:tabs>
          <w:tab w:val="clear" w:pos="720"/>
          <w:tab w:val="num" w:pos="426"/>
        </w:tabs>
        <w:ind w:left="426"/>
      </w:pPr>
      <w:r w:rsidRPr="00FF757D">
        <w:t>Access to systems will be removed in a controlled manner once obligations are met.</w:t>
      </w:r>
    </w:p>
    <w:p w14:paraId="75439D79" w14:textId="469C20A5" w:rsidR="00FF757D" w:rsidRPr="00FF757D" w:rsidRDefault="00FF757D" w:rsidP="00B11AAE">
      <w:pPr>
        <w:pStyle w:val="Heading2"/>
        <w:ind w:left="567" w:hanging="567"/>
      </w:pPr>
      <w:bookmarkStart w:id="6" w:name="_Toc224226605"/>
      <w:r w:rsidRPr="00FF757D">
        <w:t>1.</w:t>
      </w:r>
      <w:r>
        <w:t>6</w:t>
      </w:r>
      <w:r w:rsidR="00B11AAE">
        <w:tab/>
      </w:r>
      <w:r w:rsidRPr="00FF757D">
        <w:t>Completion of Wind</w:t>
      </w:r>
      <w:r w:rsidRPr="00FF757D">
        <w:noBreakHyphen/>
        <w:t>Down</w:t>
      </w:r>
      <w:bookmarkEnd w:id="6"/>
    </w:p>
    <w:p w14:paraId="3DFD24CA" w14:textId="77777777" w:rsidR="00FF757D" w:rsidRPr="00FF757D" w:rsidRDefault="00FF757D" w:rsidP="00FF757D">
      <w:r w:rsidRPr="00FF757D">
        <w:t>Termination is considered complete only when:</w:t>
      </w:r>
    </w:p>
    <w:p w14:paraId="337940B6" w14:textId="77777777" w:rsidR="00FF757D" w:rsidRPr="00FF757D" w:rsidRDefault="00FF757D" w:rsidP="00B11AAE">
      <w:pPr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FF757D">
        <w:t>all regulated activities have ceased or transferred;</w:t>
      </w:r>
    </w:p>
    <w:p w14:paraId="4DB44C1A" w14:textId="77777777" w:rsidR="00FF757D" w:rsidRDefault="00FF757D" w:rsidP="00B11AAE">
      <w:pPr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FF757D">
        <w:t>all complaints and liabilities are addressed or provisioned for;</w:t>
      </w:r>
    </w:p>
    <w:p w14:paraId="5E6F07B6" w14:textId="77777777" w:rsidR="00FF757D" w:rsidRPr="00FF757D" w:rsidRDefault="00FF757D" w:rsidP="00FF757D"/>
    <w:p w14:paraId="18D84DF3" w14:textId="77777777" w:rsidR="00FF757D" w:rsidRPr="00FF757D" w:rsidRDefault="00FF757D" w:rsidP="00B11AAE">
      <w:pPr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FF757D">
        <w:t>FCA records are updated; and</w:t>
      </w:r>
    </w:p>
    <w:p w14:paraId="3D332836" w14:textId="77777777" w:rsidR="00FF757D" w:rsidRPr="00FF757D" w:rsidRDefault="00FF757D" w:rsidP="00B11AAE">
      <w:pPr>
        <w:numPr>
          <w:ilvl w:val="0"/>
          <w:numId w:val="7"/>
        </w:numPr>
        <w:tabs>
          <w:tab w:val="clear" w:pos="720"/>
          <w:tab w:val="num" w:pos="426"/>
        </w:tabs>
        <w:ind w:left="426"/>
      </w:pPr>
      <w:r w:rsidRPr="00FF757D">
        <w:t>Board sign</w:t>
      </w:r>
      <w:r w:rsidRPr="00FF757D">
        <w:noBreakHyphen/>
        <w:t>off confirms an orderly conclusion.</w:t>
      </w:r>
    </w:p>
    <w:p w14:paraId="37D347EF" w14:textId="6F382D85" w:rsidR="00FF757D" w:rsidRPr="00FF757D" w:rsidRDefault="00FF757D" w:rsidP="00FF757D"/>
    <w:p w14:paraId="3F7B74C4" w14:textId="4F95472D" w:rsidR="00FF757D" w:rsidRPr="00FF757D" w:rsidRDefault="00B11AAE" w:rsidP="00B11AAE">
      <w:pPr>
        <w:pStyle w:val="Heading1"/>
        <w:ind w:left="567" w:hanging="567"/>
      </w:pPr>
      <w:bookmarkStart w:id="7" w:name="_Toc224226606"/>
      <w:r>
        <w:t>2.</w:t>
      </w:r>
      <w:r>
        <w:tab/>
      </w:r>
      <w:r w:rsidR="00FF757D" w:rsidRPr="00FF757D">
        <w:t>Appointed Representative Oversight Policy</w:t>
      </w:r>
      <w:r>
        <w:t xml:space="preserve"> </w:t>
      </w:r>
      <w:r w:rsidR="00FF757D" w:rsidRPr="00FF757D">
        <w:t>(AR</w:t>
      </w:r>
      <w:r w:rsidR="00FF757D" w:rsidRPr="00FF757D">
        <w:noBreakHyphen/>
        <w:t>Facing Summary)</w:t>
      </w:r>
      <w:bookmarkEnd w:id="7"/>
    </w:p>
    <w:p w14:paraId="7E3B4DFA" w14:textId="4857E0A7" w:rsidR="00FF757D" w:rsidRPr="00FF757D" w:rsidRDefault="00FF757D" w:rsidP="00B11AAE">
      <w:pPr>
        <w:pStyle w:val="Heading2"/>
        <w:ind w:left="567" w:hanging="567"/>
      </w:pPr>
      <w:bookmarkStart w:id="8" w:name="_Toc224226607"/>
      <w:r w:rsidRPr="00FF757D">
        <w:t>2.1</w:t>
      </w:r>
      <w:r w:rsidR="00B11AAE">
        <w:tab/>
      </w:r>
      <w:r w:rsidRPr="00FF757D">
        <w:t>Purpose</w:t>
      </w:r>
      <w:bookmarkEnd w:id="8"/>
    </w:p>
    <w:p w14:paraId="442B7AAA" w14:textId="77777777" w:rsidR="00FF757D" w:rsidRPr="00FF757D" w:rsidRDefault="00FF757D" w:rsidP="00FF757D">
      <w:r w:rsidRPr="00FF757D">
        <w:t>This policy explains how the Principal Firm exercises ongoing oversight and supervision of its Appointed Representatives, consistent with regulatory obligations and Consumer Duty expectations.</w:t>
      </w:r>
    </w:p>
    <w:p w14:paraId="530D9590" w14:textId="5D106CD8" w:rsidR="00FF757D" w:rsidRPr="00FF757D" w:rsidRDefault="00FF757D" w:rsidP="00B11AAE">
      <w:pPr>
        <w:pStyle w:val="Heading2"/>
        <w:ind w:left="567" w:hanging="567"/>
      </w:pPr>
      <w:bookmarkStart w:id="9" w:name="_Toc224226608"/>
      <w:r w:rsidRPr="00FF757D">
        <w:t>2.2</w:t>
      </w:r>
      <w:r w:rsidR="00B11AAE">
        <w:tab/>
      </w:r>
      <w:r w:rsidRPr="00FF757D">
        <w:t>Principal Accountability</w:t>
      </w:r>
      <w:bookmarkEnd w:id="9"/>
    </w:p>
    <w:p w14:paraId="4B2F8BEE" w14:textId="77777777" w:rsidR="00FF757D" w:rsidRPr="00FF757D" w:rsidRDefault="00FF757D" w:rsidP="00B11AAE">
      <w:pPr>
        <w:numPr>
          <w:ilvl w:val="0"/>
          <w:numId w:val="8"/>
        </w:numPr>
        <w:tabs>
          <w:tab w:val="clear" w:pos="720"/>
          <w:tab w:val="num" w:pos="426"/>
        </w:tabs>
        <w:ind w:left="426"/>
      </w:pPr>
      <w:r w:rsidRPr="00FF757D">
        <w:t>The Principal Firm accepts full regulatory responsibility for all regulated activities carried on by ARs.</w:t>
      </w:r>
    </w:p>
    <w:p w14:paraId="7A180266" w14:textId="77777777" w:rsidR="00FF757D" w:rsidRPr="00FF757D" w:rsidRDefault="00FF757D" w:rsidP="00B11AAE">
      <w:pPr>
        <w:numPr>
          <w:ilvl w:val="0"/>
          <w:numId w:val="8"/>
        </w:numPr>
        <w:tabs>
          <w:tab w:val="clear" w:pos="720"/>
          <w:tab w:val="num" w:pos="426"/>
        </w:tabs>
        <w:ind w:left="426"/>
      </w:pPr>
      <w:r w:rsidRPr="00FF757D">
        <w:t>ARs must operate within the scope of permissions and activities expressly agreed.</w:t>
      </w:r>
    </w:p>
    <w:p w14:paraId="0620F433" w14:textId="77777777" w:rsidR="00FF757D" w:rsidRPr="00FF757D" w:rsidRDefault="00FF757D" w:rsidP="00B11AAE">
      <w:pPr>
        <w:pStyle w:val="Heading2"/>
        <w:ind w:left="567" w:hanging="567"/>
      </w:pPr>
      <w:bookmarkStart w:id="10" w:name="_Toc224226609"/>
      <w:r w:rsidRPr="00FF757D">
        <w:t>2.3 Oversight Framework</w:t>
      </w:r>
      <w:bookmarkEnd w:id="10"/>
    </w:p>
    <w:p w14:paraId="394506CB" w14:textId="77777777" w:rsidR="00FF757D" w:rsidRPr="00FF757D" w:rsidRDefault="00FF757D" w:rsidP="00FF757D">
      <w:r w:rsidRPr="00FF757D">
        <w:t>Oversight is risk</w:t>
      </w:r>
      <w:r w:rsidRPr="00FF757D">
        <w:noBreakHyphen/>
        <w:t>based and proportionate, taking into account the AR’s:</w:t>
      </w:r>
    </w:p>
    <w:p w14:paraId="2822716A" w14:textId="77777777" w:rsidR="00FF757D" w:rsidRPr="00FF757D" w:rsidRDefault="00FF757D" w:rsidP="00B11AAE">
      <w:pPr>
        <w:numPr>
          <w:ilvl w:val="0"/>
          <w:numId w:val="9"/>
        </w:numPr>
        <w:tabs>
          <w:tab w:val="clear" w:pos="720"/>
          <w:tab w:val="num" w:pos="426"/>
        </w:tabs>
        <w:ind w:left="426"/>
      </w:pPr>
      <w:r w:rsidRPr="00FF757D">
        <w:t>size and complexity;</w:t>
      </w:r>
    </w:p>
    <w:p w14:paraId="4C65B6EA" w14:textId="77777777" w:rsidR="00FF757D" w:rsidRPr="00FF757D" w:rsidRDefault="00FF757D" w:rsidP="00B11AAE">
      <w:pPr>
        <w:numPr>
          <w:ilvl w:val="0"/>
          <w:numId w:val="9"/>
        </w:numPr>
        <w:tabs>
          <w:tab w:val="clear" w:pos="720"/>
          <w:tab w:val="num" w:pos="426"/>
        </w:tabs>
        <w:ind w:left="426"/>
      </w:pPr>
      <w:r w:rsidRPr="00FF757D">
        <w:t>business model and activities;</w:t>
      </w:r>
    </w:p>
    <w:p w14:paraId="75270CD1" w14:textId="77777777" w:rsidR="00FF757D" w:rsidRPr="00FF757D" w:rsidRDefault="00FF757D" w:rsidP="00B11AAE">
      <w:pPr>
        <w:numPr>
          <w:ilvl w:val="0"/>
          <w:numId w:val="9"/>
        </w:numPr>
        <w:tabs>
          <w:tab w:val="clear" w:pos="720"/>
          <w:tab w:val="num" w:pos="426"/>
        </w:tabs>
        <w:ind w:left="426"/>
      </w:pPr>
      <w:r w:rsidRPr="00FF757D">
        <w:t>client base and vulnerability;</w:t>
      </w:r>
    </w:p>
    <w:p w14:paraId="762397A6" w14:textId="77777777" w:rsidR="00FF757D" w:rsidRPr="00FF757D" w:rsidRDefault="00FF757D" w:rsidP="00B11AAE">
      <w:pPr>
        <w:numPr>
          <w:ilvl w:val="0"/>
          <w:numId w:val="9"/>
        </w:numPr>
        <w:tabs>
          <w:tab w:val="clear" w:pos="720"/>
          <w:tab w:val="num" w:pos="426"/>
        </w:tabs>
        <w:ind w:left="426"/>
      </w:pPr>
      <w:r w:rsidRPr="00FF757D">
        <w:t>complaints and conduct history.</w:t>
      </w:r>
    </w:p>
    <w:p w14:paraId="4E7DA088" w14:textId="77777777" w:rsidR="00FF757D" w:rsidRPr="00FF757D" w:rsidRDefault="00FF757D" w:rsidP="00B11AAE">
      <w:pPr>
        <w:pStyle w:val="Heading2"/>
        <w:ind w:left="567" w:hanging="567"/>
      </w:pPr>
      <w:bookmarkStart w:id="11" w:name="_Toc224226610"/>
      <w:r w:rsidRPr="00FF757D">
        <w:t>2.4 Ongoing Monitoring</w:t>
      </w:r>
      <w:bookmarkEnd w:id="11"/>
    </w:p>
    <w:p w14:paraId="44846A88" w14:textId="77777777" w:rsidR="00FF757D" w:rsidRPr="00FF757D" w:rsidRDefault="00FF757D" w:rsidP="00FF757D">
      <w:r w:rsidRPr="00FF757D">
        <w:t>ARs are subject to:</w:t>
      </w:r>
    </w:p>
    <w:p w14:paraId="26F7B72E" w14:textId="77777777" w:rsidR="00FF757D" w:rsidRPr="00FF757D" w:rsidRDefault="00FF757D" w:rsidP="00B11AAE">
      <w:pPr>
        <w:numPr>
          <w:ilvl w:val="0"/>
          <w:numId w:val="10"/>
        </w:numPr>
        <w:tabs>
          <w:tab w:val="clear" w:pos="720"/>
          <w:tab w:val="num" w:pos="426"/>
        </w:tabs>
        <w:ind w:left="426"/>
      </w:pPr>
      <w:r w:rsidRPr="00FF757D">
        <w:t>Annual AR Reviews, covering:</w:t>
      </w:r>
    </w:p>
    <w:p w14:paraId="083B160A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  <w:tab w:val="num" w:pos="1134"/>
        </w:tabs>
        <w:ind w:left="851"/>
      </w:pPr>
      <w:r w:rsidRPr="00FF757D">
        <w:t>advice quality and file reviews;</w:t>
      </w:r>
    </w:p>
    <w:p w14:paraId="5DC92532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  <w:tab w:val="num" w:pos="1134"/>
        </w:tabs>
        <w:ind w:left="851"/>
      </w:pPr>
      <w:r w:rsidRPr="00FF757D">
        <w:t>governance and controls;</w:t>
      </w:r>
    </w:p>
    <w:p w14:paraId="08A4C569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  <w:tab w:val="num" w:pos="1134"/>
        </w:tabs>
        <w:ind w:left="851"/>
      </w:pPr>
      <w:r w:rsidRPr="00FF757D">
        <w:t>financial soundness;</w:t>
      </w:r>
    </w:p>
    <w:p w14:paraId="3436033E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  <w:tab w:val="num" w:pos="1134"/>
        </w:tabs>
        <w:ind w:left="851"/>
      </w:pPr>
      <w:r w:rsidRPr="00FF757D">
        <w:lastRenderedPageBreak/>
        <w:t>training and competence;</w:t>
      </w:r>
    </w:p>
    <w:p w14:paraId="172740E9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  <w:tab w:val="num" w:pos="1134"/>
        </w:tabs>
        <w:ind w:left="851"/>
      </w:pPr>
      <w:r w:rsidRPr="00FF757D">
        <w:t>Consumer Duty outcomes.</w:t>
      </w:r>
    </w:p>
    <w:p w14:paraId="57F1E6E3" w14:textId="77777777" w:rsidR="00FF757D" w:rsidRPr="00FF757D" w:rsidRDefault="00FF757D" w:rsidP="00B11AAE">
      <w:pPr>
        <w:numPr>
          <w:ilvl w:val="0"/>
          <w:numId w:val="10"/>
        </w:numPr>
        <w:tabs>
          <w:tab w:val="clear" w:pos="720"/>
          <w:tab w:val="num" w:pos="426"/>
        </w:tabs>
        <w:ind w:left="284"/>
      </w:pPr>
      <w:r w:rsidRPr="00FF757D">
        <w:t>Ongoing MI and monitoring, including:</w:t>
      </w:r>
    </w:p>
    <w:p w14:paraId="76336DCD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</w:tabs>
        <w:ind w:left="851"/>
      </w:pPr>
      <w:r w:rsidRPr="00FF757D">
        <w:t>case volumes and trends;</w:t>
      </w:r>
    </w:p>
    <w:p w14:paraId="2E083B6C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</w:tabs>
        <w:ind w:left="851"/>
      </w:pPr>
      <w:r w:rsidRPr="00FF757D">
        <w:t>complaints and root</w:t>
      </w:r>
      <w:r w:rsidRPr="00FF757D">
        <w:noBreakHyphen/>
        <w:t>cause analysis;</w:t>
      </w:r>
    </w:p>
    <w:p w14:paraId="0CDC7215" w14:textId="77777777" w:rsidR="00FF757D" w:rsidRPr="00FF757D" w:rsidRDefault="00FF757D" w:rsidP="00B11AAE">
      <w:pPr>
        <w:numPr>
          <w:ilvl w:val="1"/>
          <w:numId w:val="10"/>
        </w:numPr>
        <w:tabs>
          <w:tab w:val="clear" w:pos="1440"/>
        </w:tabs>
        <w:ind w:left="851"/>
      </w:pPr>
      <w:r w:rsidRPr="00FF757D">
        <w:t>breaches, incidents, and thematic risks.</w:t>
      </w:r>
    </w:p>
    <w:p w14:paraId="00114CED" w14:textId="77777777" w:rsidR="00FF757D" w:rsidRPr="00FF757D" w:rsidRDefault="00FF757D" w:rsidP="00B11AAE">
      <w:pPr>
        <w:pStyle w:val="Heading2"/>
        <w:ind w:left="567" w:hanging="567"/>
      </w:pPr>
      <w:bookmarkStart w:id="12" w:name="_Toc224226611"/>
      <w:r w:rsidRPr="00FF757D">
        <w:t>2.5 Training and Competence</w:t>
      </w:r>
      <w:bookmarkEnd w:id="12"/>
    </w:p>
    <w:p w14:paraId="32C0C38A" w14:textId="77777777" w:rsidR="00FF757D" w:rsidRPr="00FF757D" w:rsidRDefault="00FF757D" w:rsidP="00B11AAE">
      <w:pPr>
        <w:numPr>
          <w:ilvl w:val="0"/>
          <w:numId w:val="11"/>
        </w:numPr>
        <w:tabs>
          <w:tab w:val="clear" w:pos="720"/>
          <w:tab w:val="num" w:pos="426"/>
        </w:tabs>
        <w:ind w:left="426"/>
      </w:pPr>
      <w:r w:rsidRPr="00FF757D">
        <w:t>AR advisers must comply with the Principal’s T&amp;C Scheme, CPD requirements, and competence standards.</w:t>
      </w:r>
    </w:p>
    <w:p w14:paraId="281A5BC1" w14:textId="77777777" w:rsidR="00FF757D" w:rsidRPr="00FF757D" w:rsidRDefault="00FF757D" w:rsidP="00B11AAE">
      <w:pPr>
        <w:numPr>
          <w:ilvl w:val="0"/>
          <w:numId w:val="11"/>
        </w:numPr>
        <w:tabs>
          <w:tab w:val="clear" w:pos="720"/>
          <w:tab w:val="num" w:pos="426"/>
        </w:tabs>
        <w:ind w:left="426"/>
      </w:pPr>
      <w:r w:rsidRPr="00FF757D">
        <w:t>The Principal may impose enhanced supervision where risks are identified.</w:t>
      </w:r>
    </w:p>
    <w:p w14:paraId="163EBB54" w14:textId="77777777" w:rsidR="00FF757D" w:rsidRPr="00FF757D" w:rsidRDefault="00FF757D" w:rsidP="00B11AAE">
      <w:pPr>
        <w:pStyle w:val="Heading2"/>
        <w:ind w:left="567" w:hanging="567"/>
      </w:pPr>
      <w:bookmarkStart w:id="13" w:name="_Toc224226612"/>
      <w:r w:rsidRPr="00FF757D">
        <w:t>2.6 Information and Access</w:t>
      </w:r>
      <w:bookmarkEnd w:id="13"/>
    </w:p>
    <w:p w14:paraId="7FA5528A" w14:textId="77777777" w:rsidR="00FF757D" w:rsidRPr="00FF757D" w:rsidRDefault="00FF757D" w:rsidP="00FF757D">
      <w:r w:rsidRPr="00FF757D">
        <w:t>ARs must:</w:t>
      </w:r>
    </w:p>
    <w:p w14:paraId="045C6DD9" w14:textId="77777777" w:rsidR="00FF757D" w:rsidRPr="00FF757D" w:rsidRDefault="00FF757D" w:rsidP="00B11AAE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FF757D">
        <w:t>provide timely, accurate information upon request;</w:t>
      </w:r>
    </w:p>
    <w:p w14:paraId="68EEDF18" w14:textId="77777777" w:rsidR="00FF757D" w:rsidRPr="00FF757D" w:rsidRDefault="00FF757D" w:rsidP="00B11AAE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FF757D">
        <w:t>grant the Principal access to records, systems, and staff as required;</w:t>
      </w:r>
    </w:p>
    <w:p w14:paraId="2EF17D94" w14:textId="77777777" w:rsidR="00FF757D" w:rsidRPr="00FF757D" w:rsidRDefault="00FF757D" w:rsidP="00B11AAE">
      <w:pPr>
        <w:numPr>
          <w:ilvl w:val="0"/>
          <w:numId w:val="12"/>
        </w:numPr>
        <w:tabs>
          <w:tab w:val="clear" w:pos="720"/>
          <w:tab w:val="num" w:pos="426"/>
        </w:tabs>
        <w:ind w:left="426"/>
      </w:pPr>
      <w:r w:rsidRPr="00FF757D">
        <w:t>not withhold or delay information relevant to regulatory oversight.</w:t>
      </w:r>
    </w:p>
    <w:p w14:paraId="016B52CA" w14:textId="3CF8F207" w:rsidR="00FF757D" w:rsidRPr="00FF757D" w:rsidRDefault="00FF757D" w:rsidP="00FF757D"/>
    <w:p w14:paraId="5E7EC517" w14:textId="11BDA0EB" w:rsidR="00FF757D" w:rsidRPr="00FF757D" w:rsidRDefault="00FF757D" w:rsidP="00B11AAE">
      <w:pPr>
        <w:pStyle w:val="Heading1"/>
        <w:ind w:left="567" w:hanging="567"/>
      </w:pPr>
      <w:bookmarkStart w:id="14" w:name="_Toc224226613"/>
      <w:r w:rsidRPr="00FF757D">
        <w:t>3.</w:t>
      </w:r>
      <w:r w:rsidR="00B11AAE">
        <w:tab/>
      </w:r>
      <w:r w:rsidRPr="00FF757D">
        <w:t>Breach Identification, Reporting, and Escalation Procedures (ARs)</w:t>
      </w:r>
      <w:bookmarkEnd w:id="14"/>
    </w:p>
    <w:p w14:paraId="405BE16E" w14:textId="648C1E2B" w:rsidR="00FF757D" w:rsidRPr="00FF757D" w:rsidRDefault="00FF757D" w:rsidP="00B11AAE">
      <w:pPr>
        <w:pStyle w:val="Heading2"/>
        <w:ind w:left="567" w:hanging="567"/>
      </w:pPr>
      <w:bookmarkStart w:id="15" w:name="_Toc224226614"/>
      <w:r w:rsidRPr="00FF757D">
        <w:t>3.1</w:t>
      </w:r>
      <w:r w:rsidR="00B11AAE">
        <w:tab/>
      </w:r>
      <w:r w:rsidRPr="00FF757D">
        <w:t>Purpose</w:t>
      </w:r>
      <w:bookmarkEnd w:id="15"/>
    </w:p>
    <w:p w14:paraId="1FE4017E" w14:textId="77777777" w:rsidR="00FF757D" w:rsidRPr="00FF757D" w:rsidRDefault="00FF757D" w:rsidP="00FF757D">
      <w:r w:rsidRPr="00FF757D">
        <w:t>To ensure that all regulatory breaches, incidents, and risks are identified early, escalated appropriately, and addressed in a way that protects clients and meets FCA expectations.</w:t>
      </w:r>
    </w:p>
    <w:p w14:paraId="091A1206" w14:textId="77777777" w:rsidR="00FF757D" w:rsidRPr="00FF757D" w:rsidRDefault="00FF757D" w:rsidP="00B11AAE">
      <w:pPr>
        <w:pStyle w:val="Heading2"/>
        <w:ind w:left="567" w:hanging="567"/>
      </w:pPr>
      <w:bookmarkStart w:id="16" w:name="_Toc224226615"/>
      <w:r w:rsidRPr="00FF757D">
        <w:t>3.2 What Must Be Reported</w:t>
      </w:r>
      <w:bookmarkEnd w:id="16"/>
    </w:p>
    <w:p w14:paraId="48321C16" w14:textId="77777777" w:rsidR="00FF757D" w:rsidRPr="00FF757D" w:rsidRDefault="00FF757D" w:rsidP="00FF757D">
      <w:r w:rsidRPr="00FF757D">
        <w:t>ARs must notify the Principal immediately of:</w:t>
      </w:r>
    </w:p>
    <w:p w14:paraId="456C62C4" w14:textId="77777777" w:rsidR="00FF757D" w:rsidRPr="00FF757D" w:rsidRDefault="00FF757D" w:rsidP="00B11AAE">
      <w:pPr>
        <w:numPr>
          <w:ilvl w:val="0"/>
          <w:numId w:val="13"/>
        </w:numPr>
        <w:tabs>
          <w:tab w:val="clear" w:pos="720"/>
          <w:tab w:val="num" w:pos="567"/>
        </w:tabs>
        <w:ind w:left="426"/>
      </w:pPr>
      <w:r w:rsidRPr="00FF757D">
        <w:t>actual or suspected regulatory breaches;</w:t>
      </w:r>
    </w:p>
    <w:p w14:paraId="6A15CCD2" w14:textId="77777777" w:rsidR="00FF757D" w:rsidRPr="00FF757D" w:rsidRDefault="00FF757D" w:rsidP="00B11AAE">
      <w:pPr>
        <w:numPr>
          <w:ilvl w:val="0"/>
          <w:numId w:val="13"/>
        </w:numPr>
        <w:tabs>
          <w:tab w:val="clear" w:pos="720"/>
          <w:tab w:val="num" w:pos="567"/>
        </w:tabs>
        <w:ind w:left="426"/>
      </w:pPr>
      <w:r w:rsidRPr="00FF757D">
        <w:t>Consumer Duty breaches or poor client outcomes;</w:t>
      </w:r>
    </w:p>
    <w:p w14:paraId="615F8966" w14:textId="77777777" w:rsidR="00FF757D" w:rsidRPr="00FF757D" w:rsidRDefault="00FF757D" w:rsidP="00B11AAE">
      <w:pPr>
        <w:numPr>
          <w:ilvl w:val="0"/>
          <w:numId w:val="13"/>
        </w:numPr>
        <w:tabs>
          <w:tab w:val="clear" w:pos="720"/>
          <w:tab w:val="num" w:pos="567"/>
        </w:tabs>
        <w:ind w:left="426"/>
      </w:pPr>
      <w:r w:rsidRPr="00FF757D">
        <w:lastRenderedPageBreak/>
        <w:t>complaints indicating systemic issues;</w:t>
      </w:r>
    </w:p>
    <w:p w14:paraId="29270A96" w14:textId="77777777" w:rsidR="00FF757D" w:rsidRPr="00FF757D" w:rsidRDefault="00FF757D" w:rsidP="00B11AAE">
      <w:pPr>
        <w:numPr>
          <w:ilvl w:val="0"/>
          <w:numId w:val="13"/>
        </w:numPr>
        <w:tabs>
          <w:tab w:val="clear" w:pos="720"/>
          <w:tab w:val="num" w:pos="567"/>
        </w:tabs>
        <w:ind w:left="426"/>
      </w:pPr>
      <w:r w:rsidRPr="00FF757D">
        <w:t>financial crime concerns;</w:t>
      </w:r>
    </w:p>
    <w:p w14:paraId="59CDF1FC" w14:textId="77777777" w:rsidR="00FF757D" w:rsidRPr="00FF757D" w:rsidRDefault="00FF757D" w:rsidP="00B11AAE">
      <w:pPr>
        <w:numPr>
          <w:ilvl w:val="0"/>
          <w:numId w:val="13"/>
        </w:numPr>
        <w:tabs>
          <w:tab w:val="clear" w:pos="720"/>
          <w:tab w:val="num" w:pos="567"/>
        </w:tabs>
        <w:ind w:left="426"/>
      </w:pPr>
      <w:r w:rsidRPr="00FF757D">
        <w:t>systems or operational failures impacting clients;</w:t>
      </w:r>
    </w:p>
    <w:p w14:paraId="4CC9340D" w14:textId="77777777" w:rsidR="00FF757D" w:rsidRPr="00FF757D" w:rsidRDefault="00FF757D" w:rsidP="00B11AAE">
      <w:pPr>
        <w:numPr>
          <w:ilvl w:val="0"/>
          <w:numId w:val="13"/>
        </w:numPr>
        <w:tabs>
          <w:tab w:val="clear" w:pos="720"/>
          <w:tab w:val="num" w:pos="567"/>
        </w:tabs>
        <w:ind w:left="426"/>
      </w:pPr>
      <w:r w:rsidRPr="00FF757D">
        <w:t>insolvency or financial distress indicators.</w:t>
      </w:r>
    </w:p>
    <w:p w14:paraId="5DDEB8F4" w14:textId="77777777" w:rsidR="00FF757D" w:rsidRPr="00FF757D" w:rsidRDefault="00FF757D" w:rsidP="00B11AAE">
      <w:pPr>
        <w:pStyle w:val="Heading2"/>
        <w:ind w:left="567" w:hanging="567"/>
      </w:pPr>
      <w:bookmarkStart w:id="17" w:name="_Toc224226616"/>
      <w:r w:rsidRPr="00FF757D">
        <w:t>3.3 Initial Escalation</w:t>
      </w:r>
      <w:bookmarkEnd w:id="17"/>
    </w:p>
    <w:p w14:paraId="446A4780" w14:textId="77777777" w:rsidR="00FF757D" w:rsidRPr="00FF757D" w:rsidRDefault="00FF757D" w:rsidP="00B11AAE">
      <w:pPr>
        <w:numPr>
          <w:ilvl w:val="0"/>
          <w:numId w:val="14"/>
        </w:numPr>
        <w:tabs>
          <w:tab w:val="clear" w:pos="720"/>
          <w:tab w:val="num" w:pos="426"/>
        </w:tabs>
        <w:ind w:left="426"/>
      </w:pPr>
      <w:r w:rsidRPr="00FF757D">
        <w:t>All breaches must be reported to the Principal’s Compliance function as soon as identified.</w:t>
      </w:r>
    </w:p>
    <w:p w14:paraId="3C45D1B1" w14:textId="77777777" w:rsidR="00FF757D" w:rsidRPr="00FF757D" w:rsidRDefault="00FF757D" w:rsidP="00B11AAE">
      <w:pPr>
        <w:numPr>
          <w:ilvl w:val="0"/>
          <w:numId w:val="14"/>
        </w:numPr>
        <w:tabs>
          <w:tab w:val="clear" w:pos="720"/>
          <w:tab w:val="num" w:pos="426"/>
        </w:tabs>
        <w:ind w:left="426"/>
      </w:pPr>
      <w:r w:rsidRPr="00FF757D">
        <w:t>Verbal notification should be followed by written confirmation without delay.</w:t>
      </w:r>
    </w:p>
    <w:p w14:paraId="5D8A451F" w14:textId="77777777" w:rsidR="00FF757D" w:rsidRPr="00FF757D" w:rsidRDefault="00FF757D" w:rsidP="00B11AAE">
      <w:pPr>
        <w:pStyle w:val="Heading2"/>
        <w:ind w:left="567" w:hanging="567"/>
      </w:pPr>
      <w:bookmarkStart w:id="18" w:name="_Toc224226617"/>
      <w:r w:rsidRPr="00FF757D">
        <w:t>3.4 Assessment and Classification</w:t>
      </w:r>
      <w:bookmarkEnd w:id="18"/>
    </w:p>
    <w:p w14:paraId="1C8A9D97" w14:textId="77777777" w:rsidR="00FF757D" w:rsidRPr="00FF757D" w:rsidRDefault="00FF757D" w:rsidP="00FF757D">
      <w:r w:rsidRPr="00FF757D">
        <w:t>The Principal will:</w:t>
      </w:r>
    </w:p>
    <w:p w14:paraId="0CCC6FD8" w14:textId="77777777" w:rsidR="00FF757D" w:rsidRPr="00FF757D" w:rsidRDefault="00FF757D" w:rsidP="00B11AAE">
      <w:pPr>
        <w:numPr>
          <w:ilvl w:val="0"/>
          <w:numId w:val="15"/>
        </w:numPr>
        <w:tabs>
          <w:tab w:val="clear" w:pos="720"/>
          <w:tab w:val="num" w:pos="426"/>
        </w:tabs>
        <w:ind w:left="426"/>
      </w:pPr>
      <w:r w:rsidRPr="00FF757D">
        <w:t>assess severity, root cause, and client impact;</w:t>
      </w:r>
    </w:p>
    <w:p w14:paraId="19EB579C" w14:textId="77777777" w:rsidR="00FF757D" w:rsidRPr="00FF757D" w:rsidRDefault="00FF757D" w:rsidP="00B11AAE">
      <w:pPr>
        <w:numPr>
          <w:ilvl w:val="0"/>
          <w:numId w:val="15"/>
        </w:numPr>
        <w:tabs>
          <w:tab w:val="clear" w:pos="720"/>
          <w:tab w:val="num" w:pos="426"/>
        </w:tabs>
        <w:ind w:left="426"/>
      </w:pPr>
      <w:r w:rsidRPr="00FF757D">
        <w:t>determine whether FCA notification is required;</w:t>
      </w:r>
    </w:p>
    <w:p w14:paraId="748CC09A" w14:textId="77777777" w:rsidR="00FF757D" w:rsidRPr="00FF757D" w:rsidRDefault="00FF757D" w:rsidP="00B11AAE">
      <w:pPr>
        <w:numPr>
          <w:ilvl w:val="0"/>
          <w:numId w:val="15"/>
        </w:numPr>
        <w:tabs>
          <w:tab w:val="clear" w:pos="720"/>
          <w:tab w:val="num" w:pos="426"/>
        </w:tabs>
        <w:ind w:left="426"/>
      </w:pPr>
      <w:r w:rsidRPr="00FF757D">
        <w:t>decide whether enhanced monitoring or restrictions apply.</w:t>
      </w:r>
    </w:p>
    <w:p w14:paraId="56C5D858" w14:textId="77777777" w:rsidR="00FF757D" w:rsidRPr="00FF757D" w:rsidRDefault="00FF757D" w:rsidP="00B11AAE">
      <w:pPr>
        <w:pStyle w:val="Heading2"/>
        <w:ind w:left="567" w:hanging="567"/>
      </w:pPr>
      <w:bookmarkStart w:id="19" w:name="_Toc224226618"/>
      <w:r w:rsidRPr="00FF757D">
        <w:t>3.5 Remediation and Oversight</w:t>
      </w:r>
      <w:bookmarkEnd w:id="19"/>
    </w:p>
    <w:p w14:paraId="7F09804E" w14:textId="77777777" w:rsidR="00FF757D" w:rsidRPr="00FF757D" w:rsidRDefault="00FF757D" w:rsidP="00B11AAE">
      <w:pPr>
        <w:numPr>
          <w:ilvl w:val="0"/>
          <w:numId w:val="16"/>
        </w:numPr>
        <w:tabs>
          <w:tab w:val="clear" w:pos="720"/>
          <w:tab w:val="num" w:pos="426"/>
        </w:tabs>
        <w:ind w:left="426"/>
      </w:pPr>
      <w:r w:rsidRPr="00FF757D">
        <w:t>ARs must cooperate fully with investigations and remedial actions.</w:t>
      </w:r>
    </w:p>
    <w:p w14:paraId="2A8C3676" w14:textId="77777777" w:rsidR="00FF757D" w:rsidRPr="00FF757D" w:rsidRDefault="00FF757D" w:rsidP="00B11AAE">
      <w:pPr>
        <w:numPr>
          <w:ilvl w:val="0"/>
          <w:numId w:val="16"/>
        </w:numPr>
        <w:tabs>
          <w:tab w:val="clear" w:pos="720"/>
          <w:tab w:val="num" w:pos="426"/>
        </w:tabs>
        <w:ind w:left="426"/>
      </w:pPr>
      <w:r w:rsidRPr="00FF757D">
        <w:t>The Principal may require:</w:t>
      </w:r>
    </w:p>
    <w:p w14:paraId="601205BC" w14:textId="77777777" w:rsidR="00FF757D" w:rsidRPr="00FF757D" w:rsidRDefault="00FF757D" w:rsidP="00B11AAE">
      <w:pPr>
        <w:numPr>
          <w:ilvl w:val="1"/>
          <w:numId w:val="16"/>
        </w:numPr>
        <w:tabs>
          <w:tab w:val="clear" w:pos="1440"/>
          <w:tab w:val="num" w:pos="1134"/>
        </w:tabs>
        <w:ind w:left="851"/>
      </w:pPr>
      <w:r w:rsidRPr="00FF757D">
        <w:t>client redress or remediation;</w:t>
      </w:r>
    </w:p>
    <w:p w14:paraId="2E72F855" w14:textId="77777777" w:rsidR="00FF757D" w:rsidRPr="00FF757D" w:rsidRDefault="00FF757D" w:rsidP="00B11AAE">
      <w:pPr>
        <w:numPr>
          <w:ilvl w:val="1"/>
          <w:numId w:val="16"/>
        </w:numPr>
        <w:tabs>
          <w:tab w:val="clear" w:pos="1440"/>
          <w:tab w:val="num" w:pos="1134"/>
        </w:tabs>
        <w:ind w:left="851"/>
      </w:pPr>
      <w:r w:rsidRPr="00FF757D">
        <w:t>process or control changes;</w:t>
      </w:r>
    </w:p>
    <w:p w14:paraId="0BAD9219" w14:textId="77777777" w:rsidR="00FF757D" w:rsidRPr="00FF757D" w:rsidRDefault="00FF757D" w:rsidP="00B11AAE">
      <w:pPr>
        <w:numPr>
          <w:ilvl w:val="1"/>
          <w:numId w:val="16"/>
        </w:numPr>
        <w:tabs>
          <w:tab w:val="clear" w:pos="1440"/>
          <w:tab w:val="num" w:pos="1134"/>
        </w:tabs>
        <w:ind w:left="851"/>
      </w:pPr>
      <w:r w:rsidRPr="00FF757D">
        <w:t>additional training;</w:t>
      </w:r>
    </w:p>
    <w:p w14:paraId="1CCA8BEC" w14:textId="77777777" w:rsidR="00FF757D" w:rsidRPr="00FF757D" w:rsidRDefault="00FF757D" w:rsidP="00B11AAE">
      <w:pPr>
        <w:numPr>
          <w:ilvl w:val="1"/>
          <w:numId w:val="16"/>
        </w:numPr>
        <w:tabs>
          <w:tab w:val="clear" w:pos="1440"/>
          <w:tab w:val="num" w:pos="1134"/>
        </w:tabs>
        <w:ind w:left="851"/>
      </w:pPr>
      <w:r w:rsidRPr="00FF757D">
        <w:t>suspension of activities pending resolution.</w:t>
      </w:r>
    </w:p>
    <w:p w14:paraId="2166911D" w14:textId="77777777" w:rsidR="00FF757D" w:rsidRPr="00FF757D" w:rsidRDefault="00FF757D" w:rsidP="00B11AAE">
      <w:pPr>
        <w:pStyle w:val="Heading2"/>
        <w:ind w:left="567" w:hanging="567"/>
      </w:pPr>
      <w:bookmarkStart w:id="20" w:name="_Toc224226619"/>
      <w:r w:rsidRPr="00FF757D">
        <w:t>3.6 Escalation and Enforcement</w:t>
      </w:r>
      <w:bookmarkEnd w:id="20"/>
    </w:p>
    <w:p w14:paraId="76D9B7BC" w14:textId="77777777" w:rsidR="00FF757D" w:rsidRPr="00FF757D" w:rsidRDefault="00FF757D" w:rsidP="00FF757D">
      <w:r w:rsidRPr="00FF757D">
        <w:t>Where breaches are serious or repeated, the Principal may:</w:t>
      </w:r>
    </w:p>
    <w:p w14:paraId="196A9BF7" w14:textId="77777777" w:rsidR="00FF757D" w:rsidRPr="00FF757D" w:rsidRDefault="00FF757D" w:rsidP="00B11AAE">
      <w:pPr>
        <w:numPr>
          <w:ilvl w:val="0"/>
          <w:numId w:val="17"/>
        </w:numPr>
        <w:tabs>
          <w:tab w:val="clear" w:pos="720"/>
          <w:tab w:val="num" w:pos="567"/>
        </w:tabs>
        <w:ind w:left="426"/>
      </w:pPr>
      <w:r w:rsidRPr="00FF757D">
        <w:t>escalate matters to the Board;</w:t>
      </w:r>
    </w:p>
    <w:p w14:paraId="29EDFF2A" w14:textId="77777777" w:rsidR="00FF757D" w:rsidRPr="00FF757D" w:rsidRDefault="00FF757D" w:rsidP="00B11AAE">
      <w:pPr>
        <w:numPr>
          <w:ilvl w:val="0"/>
          <w:numId w:val="17"/>
        </w:numPr>
        <w:tabs>
          <w:tab w:val="clear" w:pos="720"/>
          <w:tab w:val="num" w:pos="567"/>
        </w:tabs>
        <w:ind w:left="426"/>
      </w:pPr>
      <w:r w:rsidRPr="00FF757D">
        <w:t>impose formal restrictions;</w:t>
      </w:r>
    </w:p>
    <w:p w14:paraId="2A62BD16" w14:textId="77777777" w:rsidR="00FF757D" w:rsidRPr="00FF757D" w:rsidRDefault="00FF757D" w:rsidP="00B11AAE">
      <w:pPr>
        <w:numPr>
          <w:ilvl w:val="0"/>
          <w:numId w:val="17"/>
        </w:numPr>
        <w:tabs>
          <w:tab w:val="clear" w:pos="720"/>
          <w:tab w:val="num" w:pos="567"/>
        </w:tabs>
        <w:ind w:left="426"/>
      </w:pPr>
      <w:r w:rsidRPr="00FF757D">
        <w:t>initiate termination and wind</w:t>
      </w:r>
      <w:r w:rsidRPr="00FF757D">
        <w:noBreakHyphen/>
        <w:t>down procedures.</w:t>
      </w:r>
    </w:p>
    <w:p w14:paraId="28FCABC4" w14:textId="77777777" w:rsidR="00FF757D" w:rsidRPr="00FF757D" w:rsidRDefault="00FF757D" w:rsidP="00B11AAE">
      <w:pPr>
        <w:pStyle w:val="Heading2"/>
        <w:ind w:left="567" w:hanging="567"/>
      </w:pPr>
      <w:bookmarkStart w:id="21" w:name="_Toc224226620"/>
      <w:r w:rsidRPr="00FF757D">
        <w:lastRenderedPageBreak/>
        <w:t>3.7 Record Keeping</w:t>
      </w:r>
      <w:bookmarkEnd w:id="21"/>
    </w:p>
    <w:p w14:paraId="00564F94" w14:textId="77777777" w:rsidR="00FF757D" w:rsidRPr="00FF757D" w:rsidRDefault="00FF757D" w:rsidP="00B11AAE">
      <w:pPr>
        <w:numPr>
          <w:ilvl w:val="0"/>
          <w:numId w:val="18"/>
        </w:numPr>
        <w:tabs>
          <w:tab w:val="clear" w:pos="720"/>
          <w:tab w:val="num" w:pos="426"/>
        </w:tabs>
        <w:ind w:left="426"/>
      </w:pPr>
      <w:r w:rsidRPr="00FF757D">
        <w:t>All breaches, actions, and outcomes will be recorded centrally by the Principal.</w:t>
      </w:r>
    </w:p>
    <w:p w14:paraId="12C00EDF" w14:textId="3D04FFA1" w:rsidR="00FF757D" w:rsidRPr="00FF757D" w:rsidRDefault="00FF757D" w:rsidP="00FF757D">
      <w:pPr>
        <w:numPr>
          <w:ilvl w:val="0"/>
          <w:numId w:val="18"/>
        </w:numPr>
        <w:tabs>
          <w:tab w:val="clear" w:pos="720"/>
          <w:tab w:val="num" w:pos="426"/>
        </w:tabs>
        <w:ind w:left="426"/>
      </w:pPr>
      <w:r w:rsidRPr="00FF757D">
        <w:t>Lessons learned will feed into thematic reviews and AR oversight enhancements.</w:t>
      </w:r>
    </w:p>
    <w:p w14:paraId="375F45AD" w14:textId="77777777" w:rsidR="000A080B" w:rsidRPr="00FF757D" w:rsidRDefault="000A080B" w:rsidP="00FF757D"/>
    <w:sectPr w:rsidR="000A080B" w:rsidRPr="00FF757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796FD" w14:textId="77777777" w:rsidR="00AD012E" w:rsidRDefault="00AD012E" w:rsidP="00FF757D">
      <w:pPr>
        <w:spacing w:after="0" w:line="240" w:lineRule="auto"/>
      </w:pPr>
      <w:r>
        <w:separator/>
      </w:r>
    </w:p>
  </w:endnote>
  <w:endnote w:type="continuationSeparator" w:id="0">
    <w:p w14:paraId="4348A76F" w14:textId="77777777" w:rsidR="00AD012E" w:rsidRDefault="00AD012E" w:rsidP="00FF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8521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CD23B4" w14:textId="119B8696" w:rsidR="00FF757D" w:rsidRDefault="00FF757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6E28DF">
          <w:rPr>
            <w:color w:val="7F7F7F" w:themeColor="background1" w:themeShade="7F"/>
            <w:spacing w:val="60"/>
          </w:rPr>
          <w:tab/>
        </w:r>
        <w:r w:rsidR="006E28DF">
          <w:rPr>
            <w:color w:val="7F7F7F" w:themeColor="background1" w:themeShade="7F"/>
            <w:spacing w:val="60"/>
          </w:rPr>
          <w:tab/>
          <w:t>Version: May 2026</w:t>
        </w:r>
      </w:p>
    </w:sdtContent>
  </w:sdt>
  <w:p w14:paraId="5F501AC7" w14:textId="77777777" w:rsidR="00FF757D" w:rsidRDefault="00FF7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8F6D" w14:textId="77777777" w:rsidR="00AD012E" w:rsidRDefault="00AD012E" w:rsidP="00FF757D">
      <w:pPr>
        <w:spacing w:after="0" w:line="240" w:lineRule="auto"/>
      </w:pPr>
      <w:r>
        <w:separator/>
      </w:r>
    </w:p>
  </w:footnote>
  <w:footnote w:type="continuationSeparator" w:id="0">
    <w:p w14:paraId="4B30EF67" w14:textId="77777777" w:rsidR="00AD012E" w:rsidRDefault="00AD012E" w:rsidP="00FF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FF8"/>
    <w:multiLevelType w:val="multilevel"/>
    <w:tmpl w:val="9F4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8C2ACC"/>
    <w:multiLevelType w:val="multilevel"/>
    <w:tmpl w:val="336C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A39E3"/>
    <w:multiLevelType w:val="multilevel"/>
    <w:tmpl w:val="DE1C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FDE"/>
    <w:multiLevelType w:val="multilevel"/>
    <w:tmpl w:val="4E3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9B63DE"/>
    <w:multiLevelType w:val="multilevel"/>
    <w:tmpl w:val="EF06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88417A"/>
    <w:multiLevelType w:val="multilevel"/>
    <w:tmpl w:val="6C08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E551AF"/>
    <w:multiLevelType w:val="hybridMultilevel"/>
    <w:tmpl w:val="622EE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F6E79"/>
    <w:multiLevelType w:val="multilevel"/>
    <w:tmpl w:val="AC8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D33C44"/>
    <w:multiLevelType w:val="multilevel"/>
    <w:tmpl w:val="76F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5B3DED"/>
    <w:multiLevelType w:val="multilevel"/>
    <w:tmpl w:val="BEB2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147912"/>
    <w:multiLevelType w:val="multilevel"/>
    <w:tmpl w:val="EA68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6E33B3"/>
    <w:multiLevelType w:val="multilevel"/>
    <w:tmpl w:val="302E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E10B4C"/>
    <w:multiLevelType w:val="multilevel"/>
    <w:tmpl w:val="15E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2D1C2A"/>
    <w:multiLevelType w:val="multilevel"/>
    <w:tmpl w:val="4AFC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541BFB"/>
    <w:multiLevelType w:val="multilevel"/>
    <w:tmpl w:val="5A3C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5331BC"/>
    <w:multiLevelType w:val="multilevel"/>
    <w:tmpl w:val="4C88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7F321B"/>
    <w:multiLevelType w:val="multilevel"/>
    <w:tmpl w:val="04DC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D61FDB"/>
    <w:multiLevelType w:val="multilevel"/>
    <w:tmpl w:val="A8C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2A3556"/>
    <w:multiLevelType w:val="multilevel"/>
    <w:tmpl w:val="9EF8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6537220">
    <w:abstractNumId w:val="10"/>
  </w:num>
  <w:num w:numId="2" w16cid:durableId="446629176">
    <w:abstractNumId w:val="8"/>
  </w:num>
  <w:num w:numId="3" w16cid:durableId="1601521930">
    <w:abstractNumId w:val="16"/>
  </w:num>
  <w:num w:numId="4" w16cid:durableId="2110196299">
    <w:abstractNumId w:val="13"/>
  </w:num>
  <w:num w:numId="5" w16cid:durableId="1838809296">
    <w:abstractNumId w:val="3"/>
  </w:num>
  <w:num w:numId="6" w16cid:durableId="1482501270">
    <w:abstractNumId w:val="14"/>
  </w:num>
  <w:num w:numId="7" w16cid:durableId="1958021428">
    <w:abstractNumId w:val="5"/>
  </w:num>
  <w:num w:numId="8" w16cid:durableId="1434714541">
    <w:abstractNumId w:val="7"/>
  </w:num>
  <w:num w:numId="9" w16cid:durableId="1092431570">
    <w:abstractNumId w:val="0"/>
  </w:num>
  <w:num w:numId="10" w16cid:durableId="799112526">
    <w:abstractNumId w:val="18"/>
  </w:num>
  <w:num w:numId="11" w16cid:durableId="122384760">
    <w:abstractNumId w:val="15"/>
  </w:num>
  <w:num w:numId="12" w16cid:durableId="1672951751">
    <w:abstractNumId w:val="12"/>
  </w:num>
  <w:num w:numId="13" w16cid:durableId="493181664">
    <w:abstractNumId w:val="17"/>
  </w:num>
  <w:num w:numId="14" w16cid:durableId="1320688703">
    <w:abstractNumId w:val="4"/>
  </w:num>
  <w:num w:numId="15" w16cid:durableId="259873561">
    <w:abstractNumId w:val="11"/>
  </w:num>
  <w:num w:numId="16" w16cid:durableId="2015109303">
    <w:abstractNumId w:val="1"/>
  </w:num>
  <w:num w:numId="17" w16cid:durableId="844518735">
    <w:abstractNumId w:val="9"/>
  </w:num>
  <w:num w:numId="18" w16cid:durableId="1892840612">
    <w:abstractNumId w:val="2"/>
  </w:num>
  <w:num w:numId="19" w16cid:durableId="705564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7D"/>
    <w:rsid w:val="000A080B"/>
    <w:rsid w:val="00130EF0"/>
    <w:rsid w:val="00184DAE"/>
    <w:rsid w:val="00295A85"/>
    <w:rsid w:val="004414BA"/>
    <w:rsid w:val="006E28DF"/>
    <w:rsid w:val="0097029E"/>
    <w:rsid w:val="00A674A5"/>
    <w:rsid w:val="00AD012E"/>
    <w:rsid w:val="00B11AAE"/>
    <w:rsid w:val="00CD6544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53FC1"/>
  <w15:chartTrackingRefBased/>
  <w15:docId w15:val="{C44E0CA0-D2A9-46DD-8F4F-DFAD457A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7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5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57D"/>
    <w:rPr>
      <w:color w:val="96607D" w:themeColor="followedHyperlink"/>
      <w:u w:val="single"/>
    </w:rPr>
  </w:style>
  <w:style w:type="paragraph" w:customStyle="1" w:styleId="TemplateHeaderReplace">
    <w:name w:val="Template Header Replace"/>
    <w:basedOn w:val="Normal"/>
    <w:qFormat/>
    <w:rsid w:val="00FF757D"/>
    <w:pPr>
      <w:spacing w:after="210" w:line="264" w:lineRule="auto"/>
      <w:ind w:left="-567"/>
      <w:jc w:val="both"/>
    </w:pPr>
    <w:rPr>
      <w:rFonts w:ascii="Arial" w:eastAsia="Times New Roman" w:hAnsi="Arial" w:cstheme="minorHAnsi"/>
      <w:b/>
      <w:color w:val="156082" w:themeColor="accent1"/>
      <w:kern w:val="0"/>
      <w:sz w:val="44"/>
      <w:szCs w:val="44"/>
      <w:lang w:val="en-GB"/>
      <w14:ligatures w14:val="none"/>
    </w:rPr>
  </w:style>
  <w:style w:type="table" w:styleId="TableGrid">
    <w:name w:val="Table Grid"/>
    <w:basedOn w:val="TableNormal"/>
    <w:uiPriority w:val="59"/>
    <w:rsid w:val="00FF7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Header">
    <w:name w:val="Template Header"/>
    <w:basedOn w:val="Normal"/>
    <w:qFormat/>
    <w:rsid w:val="00FF757D"/>
    <w:pPr>
      <w:spacing w:after="210" w:line="264" w:lineRule="auto"/>
      <w:ind w:left="-567"/>
      <w:jc w:val="both"/>
    </w:pPr>
    <w:rPr>
      <w:rFonts w:ascii="Arial" w:eastAsia="Times New Roman" w:hAnsi="Arial" w:cstheme="minorHAnsi"/>
      <w:b/>
      <w:color w:val="000000" w:themeColor="text1"/>
      <w:kern w:val="0"/>
      <w:sz w:val="44"/>
      <w:szCs w:val="4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57D"/>
  </w:style>
  <w:style w:type="paragraph" w:styleId="Footer">
    <w:name w:val="footer"/>
    <w:basedOn w:val="Normal"/>
    <w:link w:val="FooterChar"/>
    <w:uiPriority w:val="99"/>
    <w:unhideWhenUsed/>
    <w:rsid w:val="00FF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57D"/>
  </w:style>
  <w:style w:type="paragraph" w:styleId="TOC1">
    <w:name w:val="toc 1"/>
    <w:basedOn w:val="Normal"/>
    <w:next w:val="Normal"/>
    <w:autoRedefine/>
    <w:uiPriority w:val="39"/>
    <w:unhideWhenUsed/>
    <w:rsid w:val="00B11A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1AA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64D0EE9A33841ABAADDDC496255E3" ma:contentTypeVersion="23" ma:contentTypeDescription="Create a new document." ma:contentTypeScope="" ma:versionID="8d4a6095d98acb7048bd2a11d9e58455">
  <xsd:schema xmlns:xsd="http://www.w3.org/2001/XMLSchema" xmlns:xs="http://www.w3.org/2001/XMLSchema" xmlns:p="http://schemas.microsoft.com/office/2006/metadata/properties" xmlns:ns1="http://schemas.microsoft.com/sharepoint/v3" xmlns:ns2="b7a7b0ae-d366-4174-8f86-7e626741fcd7" xmlns:ns3="a1597107-7dfc-4cce-a4d1-d062d8ec457d" targetNamespace="http://schemas.microsoft.com/office/2006/metadata/properties" ma:root="true" ma:fieldsID="7b75be45a57907712cf16f37b61997ba" ns1:_="" ns2:_="" ns3:_="">
    <xsd:import namespace="http://schemas.microsoft.com/sharepoint/v3"/>
    <xsd:import namespace="b7a7b0ae-d366-4174-8f86-7e626741fcd7"/>
    <xsd:import namespace="a1597107-7dfc-4cce-a4d1-d062d8ec4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7b0ae-d366-4174-8f86-7e626741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3569e-8348-430f-853d-71034b373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97107-7dfc-4cce-a4d1-d062d8ec4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84ab83-0fbd-4c33-9727-ad2c0dd42aa6}" ma:internalName="TaxCatchAll" ma:showField="CatchAllData" ma:web="a1597107-7dfc-4cce-a4d1-d062d8ec4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7a7b0ae-d366-4174-8f86-7e626741fcd7">
      <Terms xmlns="http://schemas.microsoft.com/office/infopath/2007/PartnerControls"/>
    </lcf76f155ced4ddcb4097134ff3c332f>
    <_ip_UnifiedCompliancePolicyProperties xmlns="http://schemas.microsoft.com/sharepoint/v3" xsi:nil="true"/>
    <TaxCatchAll xmlns="a1597107-7dfc-4cce-a4d1-d062d8ec457d" xsi:nil="true"/>
  </documentManagement>
</p:properties>
</file>

<file path=customXml/itemProps1.xml><?xml version="1.0" encoding="utf-8"?>
<ds:datastoreItem xmlns:ds="http://schemas.openxmlformats.org/officeDocument/2006/customXml" ds:itemID="{38C73EB3-EAB5-42D7-BBDE-22F91ADA3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a7b0ae-d366-4174-8f86-7e626741fcd7"/>
    <ds:schemaRef ds:uri="a1597107-7dfc-4cce-a4d1-d062d8ec4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A16E6-A2E5-4CD9-8832-40ADF54E5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4DF3A-B203-4D5D-8F98-8D6E3C859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a7b0ae-d366-4174-8f86-7e626741fcd7"/>
    <ds:schemaRef ds:uri="a1597107-7dfc-4cce-a4d1-d062d8ec4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Cross</dc:creator>
  <cp:keywords/>
  <dc:description/>
  <cp:lastModifiedBy>Lisa Cross</cp:lastModifiedBy>
  <cp:revision>3</cp:revision>
  <dcterms:created xsi:type="dcterms:W3CDTF">2026-03-12T17:03:00Z</dcterms:created>
  <dcterms:modified xsi:type="dcterms:W3CDTF">2026-05-08T10:35:00Z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0x010100F0264D0EE9A33841ABAADDDC496255E3</vt:lpwstr>
  </property>
  <property fmtid="{D5CDD505-2E9C-101B-9397-08002B2CF9AE}" pid="3" name="MediaServiceImageTags">
    <vt:lpwstr/>
  </property>
</Properties>
</file>