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C696" w14:textId="5B2B6CA4" w:rsidR="00FD1AAF" w:rsidRDefault="00FD1AAF" w:rsidP="005734EA">
      <w:pPr>
        <w:rPr>
          <w:b/>
          <w:bCs/>
        </w:rPr>
      </w:pPr>
      <w:r w:rsidRPr="00975836">
        <w:rPr>
          <w:rFonts w:cs="Arial"/>
          <w:b/>
          <w:noProof/>
          <w:color w:val="000000" w:themeColor="text1"/>
          <w:sz w:val="72"/>
          <w:szCs w:val="72"/>
        </w:rPr>
        <w:drawing>
          <wp:anchor distT="0" distB="0" distL="114300" distR="114300" simplePos="0" relativeHeight="251659264" behindDoc="1" locked="0" layoutInCell="1" allowOverlap="1" wp14:anchorId="2BF3B3C2" wp14:editId="1F98E326">
            <wp:simplePos x="0" y="0"/>
            <wp:positionH relativeFrom="page">
              <wp:align>right</wp:align>
            </wp:positionH>
            <wp:positionV relativeFrom="page">
              <wp:posOffset>15240</wp:posOffset>
            </wp:positionV>
            <wp:extent cx="7554450" cy="1795452"/>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7554450" cy="1795452"/>
                    </a:xfrm>
                    <a:prstGeom prst="rect">
                      <a:avLst/>
                    </a:prstGeom>
                  </pic:spPr>
                </pic:pic>
              </a:graphicData>
            </a:graphic>
            <wp14:sizeRelH relativeFrom="margin">
              <wp14:pctWidth>0</wp14:pctWidth>
            </wp14:sizeRelH>
            <wp14:sizeRelV relativeFrom="margin">
              <wp14:pctHeight>0</wp14:pctHeight>
            </wp14:sizeRelV>
          </wp:anchor>
        </w:drawing>
      </w:r>
    </w:p>
    <w:p w14:paraId="1CD9DF76" w14:textId="77777777" w:rsidR="00FD1AAF" w:rsidRDefault="00FD1AAF" w:rsidP="005734EA">
      <w:pPr>
        <w:rPr>
          <w:b/>
          <w:bCs/>
        </w:rPr>
      </w:pPr>
    </w:p>
    <w:p w14:paraId="38F235FB" w14:textId="77777777" w:rsidR="00FD1AAF" w:rsidRDefault="00FD1AAF" w:rsidP="005734EA">
      <w:pPr>
        <w:rPr>
          <w:b/>
          <w:bCs/>
        </w:rPr>
      </w:pPr>
    </w:p>
    <w:p w14:paraId="5ED38297" w14:textId="77777777" w:rsidR="00FD1AAF" w:rsidRDefault="00FD1AAF" w:rsidP="00FD1AAF">
      <w:pPr>
        <w:pStyle w:val="TemplateHeaderReplace"/>
        <w:ind w:left="0" w:right="567"/>
        <w:jc w:val="left"/>
        <w:rPr>
          <w:rFonts w:asciiTheme="minorHAnsi" w:eastAsiaTheme="minorHAnsi" w:hAnsiTheme="minorHAnsi" w:cs="Arial"/>
          <w:bCs/>
          <w:color w:val="auto"/>
          <w:kern w:val="2"/>
          <w:sz w:val="56"/>
          <w:szCs w:val="56"/>
          <w:lang w:val="en-US"/>
          <w14:ligatures w14:val="standardContextual"/>
        </w:rPr>
      </w:pPr>
    </w:p>
    <w:p w14:paraId="5928692C" w14:textId="77777777" w:rsidR="00FD1AAF" w:rsidRDefault="00FD1AAF" w:rsidP="00FD1AAF">
      <w:pPr>
        <w:pStyle w:val="TemplateHeaderReplace"/>
        <w:ind w:left="0" w:right="567"/>
        <w:jc w:val="left"/>
        <w:rPr>
          <w:rFonts w:asciiTheme="minorHAnsi" w:eastAsiaTheme="minorHAnsi" w:hAnsiTheme="minorHAnsi" w:cs="Arial"/>
          <w:bCs/>
          <w:color w:val="auto"/>
          <w:kern w:val="2"/>
          <w:sz w:val="56"/>
          <w:szCs w:val="56"/>
          <w:lang w:val="en-US"/>
          <w14:ligatures w14:val="standardContextual"/>
        </w:rPr>
      </w:pPr>
    </w:p>
    <w:p w14:paraId="1F7D01B1" w14:textId="58F962F3" w:rsidR="00FD1AAF" w:rsidRPr="00FF757D" w:rsidRDefault="00FD1AAF" w:rsidP="00FD1AAF">
      <w:pPr>
        <w:pStyle w:val="TemplateHeaderReplace"/>
        <w:ind w:left="0" w:right="567"/>
        <w:jc w:val="left"/>
        <w:rPr>
          <w:rFonts w:asciiTheme="minorHAnsi" w:eastAsiaTheme="minorHAnsi" w:hAnsiTheme="minorHAnsi" w:cs="Arial"/>
          <w:bCs/>
          <w:color w:val="auto"/>
          <w:kern w:val="2"/>
          <w:sz w:val="56"/>
          <w:szCs w:val="56"/>
          <w:lang w:val="en-US"/>
          <w14:ligatures w14:val="standardContextual"/>
        </w:rPr>
      </w:pPr>
      <w:r w:rsidRPr="00FF757D">
        <w:rPr>
          <w:rFonts w:asciiTheme="minorHAnsi" w:eastAsiaTheme="minorHAnsi" w:hAnsiTheme="minorHAnsi" w:cs="Arial"/>
          <w:bCs/>
          <w:color w:val="auto"/>
          <w:kern w:val="2"/>
          <w:sz w:val="56"/>
          <w:szCs w:val="56"/>
          <w:lang w:val="en-US"/>
          <w14:ligatures w14:val="standardContextual"/>
        </w:rPr>
        <w:t xml:space="preserve">Appointed Representative (AR) </w:t>
      </w:r>
      <w:r w:rsidRPr="005734EA">
        <w:rPr>
          <w:rFonts w:asciiTheme="minorHAnsi" w:eastAsiaTheme="minorHAnsi" w:hAnsiTheme="minorHAnsi" w:cs="Arial"/>
          <w:bCs/>
          <w:color w:val="auto"/>
          <w:kern w:val="2"/>
          <w:sz w:val="56"/>
          <w:szCs w:val="56"/>
          <w:lang w:val="en-US"/>
          <w14:ligatures w14:val="standardContextual"/>
        </w:rPr>
        <w:t>Governance &amp; Oversight Policy</w:t>
      </w:r>
      <w:r w:rsidRPr="005734EA">
        <w:rPr>
          <w:rFonts w:eastAsiaTheme="majorEastAsia"/>
          <w:bCs/>
        </w:rPr>
        <w:t> </w:t>
      </w:r>
    </w:p>
    <w:tbl>
      <w:tblPr>
        <w:tblStyle w:val="TableGrid"/>
        <w:tblpPr w:leftFromText="180" w:rightFromText="180" w:vertAnchor="text" w:horzAnchor="margin" w:tblpYSpec="outside"/>
        <w:tblW w:w="0" w:type="auto"/>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813"/>
      </w:tblGrid>
      <w:tr w:rsidR="00FD1AAF" w:rsidRPr="00975836" w14:paraId="0CF3FFC5" w14:textId="77777777" w:rsidTr="00D04B4E">
        <w:tc>
          <w:tcPr>
            <w:tcW w:w="8813" w:type="dxa"/>
            <w:tcBorders>
              <w:top w:val="single" w:sz="4" w:space="0" w:color="46DCDC"/>
            </w:tcBorders>
          </w:tcPr>
          <w:p w14:paraId="19B6980E" w14:textId="77777777" w:rsidR="00FD1AAF" w:rsidRPr="00975836" w:rsidRDefault="00FD1AAF" w:rsidP="00D04B4E">
            <w:pPr>
              <w:ind w:left="-567" w:right="567"/>
              <w:rPr>
                <w:rFonts w:cs="Arial"/>
                <w:b/>
                <w:sz w:val="22"/>
              </w:rPr>
            </w:pPr>
          </w:p>
        </w:tc>
      </w:tr>
      <w:tr w:rsidR="00FD1AAF" w:rsidRPr="00975836" w14:paraId="4B71C224" w14:textId="77777777" w:rsidTr="00D04B4E">
        <w:tc>
          <w:tcPr>
            <w:tcW w:w="8813" w:type="dxa"/>
          </w:tcPr>
          <w:p w14:paraId="07A7E244" w14:textId="77777777" w:rsidR="00FD1AAF" w:rsidRPr="00975836" w:rsidRDefault="00FD1AAF" w:rsidP="00D04B4E">
            <w:pPr>
              <w:ind w:right="567"/>
              <w:rPr>
                <w:rFonts w:cs="Arial"/>
                <w:b/>
                <w:sz w:val="28"/>
                <w:szCs w:val="28"/>
              </w:rPr>
            </w:pPr>
            <w:r w:rsidRPr="00975836">
              <w:rPr>
                <w:rFonts w:cs="Arial"/>
                <w:b/>
                <w:sz w:val="28"/>
                <w:szCs w:val="28"/>
              </w:rPr>
              <w:t xml:space="preserve">Template Guidance Notes </w:t>
            </w:r>
          </w:p>
          <w:p w14:paraId="4E9FF8EF" w14:textId="7C1B2628" w:rsidR="00FD1AAF" w:rsidRPr="00FF757D" w:rsidRDefault="00FD1AAF" w:rsidP="00D04B4E">
            <w:pPr>
              <w:pStyle w:val="TemplateHeaderReplace"/>
              <w:ind w:left="0" w:right="567"/>
              <w:jc w:val="left"/>
              <w:rPr>
                <w:rFonts w:asciiTheme="minorHAnsi" w:hAnsiTheme="minorHAnsi"/>
                <w:b w:val="0"/>
                <w:color w:val="auto"/>
                <w:sz w:val="22"/>
                <w:szCs w:val="22"/>
                <w:lang w:bidi="en-US"/>
              </w:rPr>
            </w:pPr>
            <w:r w:rsidRPr="00FF757D">
              <w:rPr>
                <w:rFonts w:asciiTheme="minorHAnsi" w:hAnsiTheme="minorHAnsi"/>
                <w:b w:val="0"/>
                <w:color w:val="auto"/>
                <w:sz w:val="22"/>
                <w:szCs w:val="22"/>
                <w:lang w:bidi="en-US"/>
              </w:rPr>
              <w:t xml:space="preserve">Use this template as a base to document your firm’s  Appointed Representative (AR) </w:t>
            </w:r>
            <w:r>
              <w:rPr>
                <w:rFonts w:asciiTheme="minorHAnsi" w:hAnsiTheme="minorHAnsi"/>
                <w:b w:val="0"/>
                <w:color w:val="auto"/>
                <w:sz w:val="22"/>
                <w:szCs w:val="22"/>
                <w:lang w:bidi="en-US"/>
              </w:rPr>
              <w:t>Governance &amp; Oversight Policy.</w:t>
            </w:r>
          </w:p>
          <w:p w14:paraId="6A1DC56F" w14:textId="77777777" w:rsidR="00FD1AAF" w:rsidRPr="007E7545" w:rsidRDefault="00FD1AAF" w:rsidP="00D04B4E">
            <w:pPr>
              <w:rPr>
                <w:rFonts w:asciiTheme="minorHAnsi" w:hAnsiTheme="minorHAnsi" w:cstheme="minorHAnsi"/>
                <w:sz w:val="22"/>
                <w:szCs w:val="22"/>
                <w:lang w:bidi="en-US"/>
              </w:rPr>
            </w:pPr>
            <w:r w:rsidRPr="007E7545">
              <w:rPr>
                <w:rFonts w:asciiTheme="minorHAnsi" w:hAnsiTheme="minorHAnsi" w:cstheme="minorHAnsi"/>
                <w:sz w:val="22"/>
                <w:szCs w:val="22"/>
                <w:lang w:bidi="en-US"/>
              </w:rPr>
              <w:t>It should be modified to suit your requirements. It is not designed to be definitive.</w:t>
            </w:r>
          </w:p>
          <w:p w14:paraId="132C20A6" w14:textId="77777777" w:rsidR="00FD1AAF" w:rsidRPr="007E7545" w:rsidRDefault="00FD1AAF" w:rsidP="00D04B4E">
            <w:pPr>
              <w:rPr>
                <w:rFonts w:asciiTheme="minorHAnsi" w:hAnsiTheme="minorHAnsi" w:cstheme="minorHAnsi"/>
                <w:sz w:val="22"/>
                <w:szCs w:val="22"/>
                <w:lang w:bidi="en-US"/>
              </w:rPr>
            </w:pPr>
            <w:r w:rsidRPr="007E7545">
              <w:rPr>
                <w:rFonts w:asciiTheme="minorHAnsi" w:hAnsiTheme="minorHAnsi" w:cstheme="minorHAnsi"/>
                <w:sz w:val="22"/>
                <w:szCs w:val="22"/>
                <w:lang w:bidi="en-US"/>
              </w:rPr>
              <w:t>It should be completed and signed-off by principals of the firm.</w:t>
            </w:r>
          </w:p>
          <w:p w14:paraId="1EED344F" w14:textId="77777777" w:rsidR="00FD1AAF" w:rsidRPr="00FF757D" w:rsidRDefault="00FD1AAF" w:rsidP="00D04B4E">
            <w:pPr>
              <w:rPr>
                <w:rFonts w:asciiTheme="minorHAnsi" w:hAnsiTheme="minorHAnsi" w:cstheme="minorHAnsi"/>
                <w:color w:val="EE0000"/>
                <w:sz w:val="22"/>
                <w:szCs w:val="22"/>
                <w:lang w:bidi="en-US"/>
              </w:rPr>
            </w:pPr>
            <w:r w:rsidRPr="00FF757D">
              <w:rPr>
                <w:rFonts w:asciiTheme="minorHAnsi" w:hAnsiTheme="minorHAnsi" w:cstheme="minorHAnsi"/>
                <w:color w:val="EE0000"/>
                <w:sz w:val="22"/>
                <w:szCs w:val="22"/>
                <w:lang w:bidi="en-US"/>
              </w:rPr>
              <w:t>Red text indicates personalisation is required.</w:t>
            </w:r>
          </w:p>
          <w:p w14:paraId="0CFC706D" w14:textId="77777777" w:rsidR="00FD1AAF" w:rsidRPr="00975836" w:rsidRDefault="00FD1AAF" w:rsidP="00D04B4E">
            <w:pPr>
              <w:ind w:right="567"/>
              <w:jc w:val="both"/>
              <w:rPr>
                <w:rFonts w:cs="Arial"/>
                <w:b/>
                <w:sz w:val="28"/>
                <w:szCs w:val="28"/>
              </w:rPr>
            </w:pPr>
          </w:p>
        </w:tc>
      </w:tr>
    </w:tbl>
    <w:p w14:paraId="6631AFEC" w14:textId="77777777" w:rsidR="00FD1AAF" w:rsidRPr="00975836" w:rsidRDefault="00FD1AAF" w:rsidP="00FD1AAF">
      <w:pPr>
        <w:pStyle w:val="TemplateHeaderReplace"/>
        <w:ind w:left="0" w:right="567"/>
        <w:rPr>
          <w:rFonts w:cs="Arial"/>
        </w:rPr>
      </w:pPr>
    </w:p>
    <w:p w14:paraId="1B36F091" w14:textId="77777777" w:rsidR="00FD1AAF" w:rsidRPr="00975836" w:rsidRDefault="00FD1AAF" w:rsidP="00FD1AAF">
      <w:pPr>
        <w:spacing w:line="259" w:lineRule="auto"/>
        <w:rPr>
          <w:rFonts w:cs="Arial"/>
          <w:b/>
          <w:color w:val="DC2C5C"/>
          <w:sz w:val="44"/>
          <w:szCs w:val="44"/>
        </w:rPr>
      </w:pPr>
      <w:r w:rsidRPr="00975836">
        <w:rPr>
          <w:rFonts w:cs="Arial"/>
        </w:rPr>
        <w:br w:type="page"/>
      </w:r>
    </w:p>
    <w:p w14:paraId="25B79982" w14:textId="77777777" w:rsidR="00FD1AAF" w:rsidRPr="00975836" w:rsidRDefault="00FD1AAF" w:rsidP="00FD1AAF">
      <w:pPr>
        <w:pStyle w:val="Heading1"/>
      </w:pPr>
    </w:p>
    <w:p w14:paraId="0F88D7DC" w14:textId="77777777" w:rsidR="00FD1AAF" w:rsidRPr="00975836" w:rsidRDefault="00FD1AAF" w:rsidP="00FD1AAF">
      <w:pPr>
        <w:pStyle w:val="Heading1"/>
      </w:pPr>
    </w:p>
    <w:p w14:paraId="0FCDDF47" w14:textId="77777777" w:rsidR="00FD1AAF" w:rsidRPr="00975836" w:rsidRDefault="00FD1AAF" w:rsidP="00FD1AAF">
      <w:pPr>
        <w:pStyle w:val="Heading1"/>
      </w:pPr>
    </w:p>
    <w:p w14:paraId="67FB5DCA" w14:textId="77777777" w:rsidR="00FD1AAF" w:rsidRPr="00975836" w:rsidRDefault="00FD1AAF" w:rsidP="00FD1AAF">
      <w:pPr>
        <w:pStyle w:val="Heading1"/>
      </w:pPr>
    </w:p>
    <w:p w14:paraId="3149F4A9" w14:textId="77777777" w:rsidR="00FD1AAF" w:rsidRPr="00975836" w:rsidRDefault="00FD1AAF" w:rsidP="00FD1AAF">
      <w:pPr>
        <w:rPr>
          <w:rFonts w:cs="Arial"/>
          <w:b/>
          <w:bCs/>
          <w:color w:val="156082" w:themeColor="accent1"/>
          <w:sz w:val="44"/>
          <w:szCs w:val="44"/>
        </w:rPr>
      </w:pPr>
      <w:r w:rsidRPr="00975836">
        <w:rPr>
          <w:rFonts w:cs="Arial"/>
          <w:b/>
          <w:bCs/>
          <w:color w:val="156082" w:themeColor="accent1"/>
          <w:sz w:val="44"/>
          <w:szCs w:val="44"/>
        </w:rPr>
        <w:t>Firm Name</w:t>
      </w:r>
    </w:p>
    <w:p w14:paraId="7D3BCEE8" w14:textId="58E44B43" w:rsidR="00FD1AAF" w:rsidRPr="00FF757D" w:rsidRDefault="00FD1AAF" w:rsidP="00FD1AAF">
      <w:pPr>
        <w:pStyle w:val="TemplateHeaderReplace"/>
        <w:ind w:left="0" w:right="567"/>
        <w:jc w:val="left"/>
        <w:rPr>
          <w:rFonts w:asciiTheme="minorHAnsi" w:eastAsiaTheme="minorHAnsi" w:hAnsiTheme="minorHAnsi" w:cs="Arial"/>
          <w:bCs/>
          <w:color w:val="auto"/>
          <w:kern w:val="2"/>
          <w:sz w:val="56"/>
          <w:szCs w:val="56"/>
          <w:lang w:val="en-US"/>
          <w14:ligatures w14:val="standardContextual"/>
        </w:rPr>
      </w:pPr>
      <w:r w:rsidRPr="00FF757D">
        <w:rPr>
          <w:rFonts w:asciiTheme="minorHAnsi" w:eastAsiaTheme="minorHAnsi" w:hAnsiTheme="minorHAnsi" w:cs="Arial"/>
          <w:bCs/>
          <w:color w:val="auto"/>
          <w:kern w:val="2"/>
          <w:sz w:val="56"/>
          <w:szCs w:val="56"/>
          <w:lang w:val="en-US"/>
          <w14:ligatures w14:val="standardContextual"/>
        </w:rPr>
        <w:t xml:space="preserve">Appointed Representative (AR) </w:t>
      </w:r>
      <w:r w:rsidRPr="005734EA">
        <w:rPr>
          <w:rFonts w:asciiTheme="minorHAnsi" w:eastAsiaTheme="minorHAnsi" w:hAnsiTheme="minorHAnsi" w:cs="Arial"/>
          <w:bCs/>
          <w:color w:val="auto"/>
          <w:kern w:val="2"/>
          <w:sz w:val="56"/>
          <w:szCs w:val="56"/>
          <w:lang w:val="en-US"/>
          <w14:ligatures w14:val="standardContextual"/>
        </w:rPr>
        <w:t>Governance &amp; Oversight Policy</w:t>
      </w:r>
      <w:r w:rsidRPr="005734EA">
        <w:rPr>
          <w:rFonts w:eastAsiaTheme="majorEastAsia"/>
          <w:bCs/>
        </w:rPr>
        <w:t> </w:t>
      </w:r>
    </w:p>
    <w:p w14:paraId="7A7DA079" w14:textId="77777777" w:rsidR="00FD1AAF" w:rsidRPr="00975836" w:rsidRDefault="00FD1AAF" w:rsidP="00FD1AAF">
      <w:pPr>
        <w:rPr>
          <w:rFonts w:cs="Arial"/>
          <w:b/>
          <w:bCs/>
          <w:color w:val="156082" w:themeColor="accent1"/>
          <w:lang w:bidi="en-US"/>
        </w:rPr>
      </w:pPr>
      <w:r w:rsidRPr="00975836">
        <w:rPr>
          <w:rFonts w:cs="Arial"/>
          <w:b/>
          <w:bCs/>
          <w:color w:val="156082" w:themeColor="accent1"/>
          <w:lang w:bidi="en-US"/>
        </w:rPr>
        <w:t>Month / Year</w:t>
      </w:r>
    </w:p>
    <w:p w14:paraId="0D4B04FE" w14:textId="5C624084" w:rsidR="00FD1AAF" w:rsidRDefault="00FD1AAF" w:rsidP="005734EA">
      <w:pPr>
        <w:rPr>
          <w:b/>
          <w:bCs/>
        </w:rPr>
      </w:pPr>
    </w:p>
    <w:p w14:paraId="5332D4C0" w14:textId="77777777" w:rsidR="00FD1AAF" w:rsidRDefault="00FD1AAF" w:rsidP="005734EA">
      <w:pPr>
        <w:rPr>
          <w:b/>
          <w:bCs/>
        </w:rPr>
      </w:pPr>
    </w:p>
    <w:p w14:paraId="2BD5AEB4" w14:textId="77777777" w:rsidR="00FD1AAF" w:rsidRDefault="00FD1AAF" w:rsidP="005734EA">
      <w:pPr>
        <w:rPr>
          <w:b/>
          <w:bCs/>
        </w:rPr>
      </w:pPr>
    </w:p>
    <w:p w14:paraId="5BFEDD70" w14:textId="77777777" w:rsidR="00FD1AAF" w:rsidRDefault="00FD1AAF" w:rsidP="005734EA">
      <w:pPr>
        <w:rPr>
          <w:b/>
          <w:bCs/>
        </w:rPr>
      </w:pPr>
    </w:p>
    <w:p w14:paraId="23F5D78B" w14:textId="77777777" w:rsidR="00FD1AAF" w:rsidRDefault="00FD1AAF" w:rsidP="005734EA">
      <w:pPr>
        <w:rPr>
          <w:b/>
          <w:bCs/>
        </w:rPr>
      </w:pPr>
    </w:p>
    <w:p w14:paraId="167E2CDF" w14:textId="77777777" w:rsidR="00FD1AAF" w:rsidRDefault="00FD1AAF" w:rsidP="005734EA">
      <w:pPr>
        <w:rPr>
          <w:b/>
          <w:bCs/>
        </w:rPr>
      </w:pPr>
    </w:p>
    <w:p w14:paraId="78ACEA63" w14:textId="77777777" w:rsidR="00FD1AAF" w:rsidRDefault="00FD1AAF" w:rsidP="005734EA">
      <w:pPr>
        <w:rPr>
          <w:b/>
          <w:bCs/>
        </w:rPr>
      </w:pPr>
    </w:p>
    <w:p w14:paraId="1354941A" w14:textId="77777777" w:rsidR="00FD1AAF" w:rsidRDefault="00FD1AAF" w:rsidP="005734EA">
      <w:pPr>
        <w:rPr>
          <w:b/>
          <w:bCs/>
        </w:rPr>
      </w:pPr>
    </w:p>
    <w:p w14:paraId="720634CF" w14:textId="77777777" w:rsidR="00FD1AAF" w:rsidRDefault="00FD1AAF" w:rsidP="005734EA">
      <w:pPr>
        <w:rPr>
          <w:b/>
          <w:bCs/>
        </w:rPr>
      </w:pPr>
    </w:p>
    <w:p w14:paraId="1ADFA613" w14:textId="77777777" w:rsidR="00FD1AAF" w:rsidRDefault="00FD1AAF" w:rsidP="005734EA">
      <w:pPr>
        <w:rPr>
          <w:b/>
          <w:bCs/>
        </w:rPr>
      </w:pPr>
    </w:p>
    <w:p w14:paraId="53B87E7B" w14:textId="77777777" w:rsidR="00FD1AAF" w:rsidRDefault="00FD1AAF" w:rsidP="005734EA">
      <w:pPr>
        <w:rPr>
          <w:b/>
          <w:bCs/>
        </w:rPr>
      </w:pPr>
    </w:p>
    <w:p w14:paraId="0F7EC04B" w14:textId="77777777" w:rsidR="00FD1AAF" w:rsidRDefault="00FD1AAF" w:rsidP="005734EA">
      <w:pPr>
        <w:rPr>
          <w:b/>
          <w:bCs/>
        </w:rPr>
      </w:pPr>
    </w:p>
    <w:p w14:paraId="7CE53037" w14:textId="77777777" w:rsidR="00FD1AAF" w:rsidRDefault="00FD1AAF" w:rsidP="005734EA">
      <w:pPr>
        <w:rPr>
          <w:b/>
          <w:bCs/>
        </w:rPr>
      </w:pPr>
    </w:p>
    <w:p w14:paraId="007F04E5" w14:textId="6987B235" w:rsidR="00FD1AAF" w:rsidRDefault="00FD1AAF">
      <w:pPr>
        <w:pStyle w:val="TOC1"/>
        <w:tabs>
          <w:tab w:val="right" w:leader="dot" w:pos="9350"/>
        </w:tabs>
        <w:rPr>
          <w:noProof/>
        </w:rPr>
      </w:pPr>
      <w:r>
        <w:lastRenderedPageBreak/>
        <w:fldChar w:fldCharType="begin"/>
      </w:r>
      <w:r>
        <w:instrText xml:space="preserve"> TOC \o "1-3" \h \z \u </w:instrText>
      </w:r>
      <w:r>
        <w:fldChar w:fldCharType="separate"/>
      </w:r>
      <w:hyperlink w:anchor="_Toc224227217" w:history="1">
        <w:r w:rsidRPr="008D1F6D">
          <w:rPr>
            <w:rStyle w:val="Hyperlink"/>
            <w:noProof/>
          </w:rPr>
          <w:t>1. Purpose</w:t>
        </w:r>
        <w:r>
          <w:rPr>
            <w:noProof/>
            <w:webHidden/>
          </w:rPr>
          <w:tab/>
        </w:r>
        <w:r>
          <w:rPr>
            <w:noProof/>
            <w:webHidden/>
          </w:rPr>
          <w:fldChar w:fldCharType="begin"/>
        </w:r>
        <w:r>
          <w:rPr>
            <w:noProof/>
            <w:webHidden/>
          </w:rPr>
          <w:instrText xml:space="preserve"> PAGEREF _Toc224227217 \h </w:instrText>
        </w:r>
        <w:r>
          <w:rPr>
            <w:noProof/>
            <w:webHidden/>
          </w:rPr>
        </w:r>
        <w:r>
          <w:rPr>
            <w:noProof/>
            <w:webHidden/>
          </w:rPr>
          <w:fldChar w:fldCharType="separate"/>
        </w:r>
        <w:r>
          <w:rPr>
            <w:noProof/>
            <w:webHidden/>
          </w:rPr>
          <w:t>3</w:t>
        </w:r>
        <w:r>
          <w:rPr>
            <w:noProof/>
            <w:webHidden/>
          </w:rPr>
          <w:fldChar w:fldCharType="end"/>
        </w:r>
      </w:hyperlink>
    </w:p>
    <w:p w14:paraId="23EB7752" w14:textId="62F685E2" w:rsidR="00FD1AAF" w:rsidRDefault="00FD1AAF">
      <w:pPr>
        <w:pStyle w:val="TOC1"/>
        <w:tabs>
          <w:tab w:val="right" w:leader="dot" w:pos="9350"/>
        </w:tabs>
        <w:rPr>
          <w:noProof/>
        </w:rPr>
      </w:pPr>
      <w:hyperlink w:anchor="_Toc224227218" w:history="1">
        <w:r w:rsidRPr="008D1F6D">
          <w:rPr>
            <w:rStyle w:val="Hyperlink"/>
            <w:noProof/>
          </w:rPr>
          <w:t>2. Scope</w:t>
        </w:r>
        <w:r>
          <w:rPr>
            <w:noProof/>
            <w:webHidden/>
          </w:rPr>
          <w:tab/>
        </w:r>
        <w:r>
          <w:rPr>
            <w:noProof/>
            <w:webHidden/>
          </w:rPr>
          <w:fldChar w:fldCharType="begin"/>
        </w:r>
        <w:r>
          <w:rPr>
            <w:noProof/>
            <w:webHidden/>
          </w:rPr>
          <w:instrText xml:space="preserve"> PAGEREF _Toc224227218 \h </w:instrText>
        </w:r>
        <w:r>
          <w:rPr>
            <w:noProof/>
            <w:webHidden/>
          </w:rPr>
        </w:r>
        <w:r>
          <w:rPr>
            <w:noProof/>
            <w:webHidden/>
          </w:rPr>
          <w:fldChar w:fldCharType="separate"/>
        </w:r>
        <w:r>
          <w:rPr>
            <w:noProof/>
            <w:webHidden/>
          </w:rPr>
          <w:t>3</w:t>
        </w:r>
        <w:r>
          <w:rPr>
            <w:noProof/>
            <w:webHidden/>
          </w:rPr>
          <w:fldChar w:fldCharType="end"/>
        </w:r>
      </w:hyperlink>
    </w:p>
    <w:p w14:paraId="1B4D4C20" w14:textId="5DE11FDF" w:rsidR="00FD1AAF" w:rsidRDefault="00FD1AAF">
      <w:pPr>
        <w:pStyle w:val="TOC1"/>
        <w:tabs>
          <w:tab w:val="right" w:leader="dot" w:pos="9350"/>
        </w:tabs>
        <w:rPr>
          <w:noProof/>
        </w:rPr>
      </w:pPr>
      <w:hyperlink w:anchor="_Toc224227219" w:history="1">
        <w:r w:rsidRPr="008D1F6D">
          <w:rPr>
            <w:rStyle w:val="Hyperlink"/>
            <w:noProof/>
          </w:rPr>
          <w:t>3. Governance Principles</w:t>
        </w:r>
        <w:r>
          <w:rPr>
            <w:noProof/>
            <w:webHidden/>
          </w:rPr>
          <w:tab/>
        </w:r>
        <w:r>
          <w:rPr>
            <w:noProof/>
            <w:webHidden/>
          </w:rPr>
          <w:fldChar w:fldCharType="begin"/>
        </w:r>
        <w:r>
          <w:rPr>
            <w:noProof/>
            <w:webHidden/>
          </w:rPr>
          <w:instrText xml:space="preserve"> PAGEREF _Toc224227219 \h </w:instrText>
        </w:r>
        <w:r>
          <w:rPr>
            <w:noProof/>
            <w:webHidden/>
          </w:rPr>
        </w:r>
        <w:r>
          <w:rPr>
            <w:noProof/>
            <w:webHidden/>
          </w:rPr>
          <w:fldChar w:fldCharType="separate"/>
        </w:r>
        <w:r>
          <w:rPr>
            <w:noProof/>
            <w:webHidden/>
          </w:rPr>
          <w:t>3</w:t>
        </w:r>
        <w:r>
          <w:rPr>
            <w:noProof/>
            <w:webHidden/>
          </w:rPr>
          <w:fldChar w:fldCharType="end"/>
        </w:r>
      </w:hyperlink>
    </w:p>
    <w:p w14:paraId="7F6E239A" w14:textId="63C9C717" w:rsidR="00FD1AAF" w:rsidRDefault="00FD1AAF">
      <w:pPr>
        <w:pStyle w:val="TOC1"/>
        <w:tabs>
          <w:tab w:val="right" w:leader="dot" w:pos="9350"/>
        </w:tabs>
        <w:rPr>
          <w:noProof/>
        </w:rPr>
      </w:pPr>
      <w:hyperlink w:anchor="_Toc224227220" w:history="1">
        <w:r w:rsidRPr="008D1F6D">
          <w:rPr>
            <w:rStyle w:val="Hyperlink"/>
            <w:noProof/>
          </w:rPr>
          <w:t>4. Oversight Structure</w:t>
        </w:r>
        <w:r>
          <w:rPr>
            <w:noProof/>
            <w:webHidden/>
          </w:rPr>
          <w:tab/>
        </w:r>
        <w:r>
          <w:rPr>
            <w:noProof/>
            <w:webHidden/>
          </w:rPr>
          <w:fldChar w:fldCharType="begin"/>
        </w:r>
        <w:r>
          <w:rPr>
            <w:noProof/>
            <w:webHidden/>
          </w:rPr>
          <w:instrText xml:space="preserve"> PAGEREF _Toc224227220 \h </w:instrText>
        </w:r>
        <w:r>
          <w:rPr>
            <w:noProof/>
            <w:webHidden/>
          </w:rPr>
        </w:r>
        <w:r>
          <w:rPr>
            <w:noProof/>
            <w:webHidden/>
          </w:rPr>
          <w:fldChar w:fldCharType="separate"/>
        </w:r>
        <w:r>
          <w:rPr>
            <w:noProof/>
            <w:webHidden/>
          </w:rPr>
          <w:t>4</w:t>
        </w:r>
        <w:r>
          <w:rPr>
            <w:noProof/>
            <w:webHidden/>
          </w:rPr>
          <w:fldChar w:fldCharType="end"/>
        </w:r>
      </w:hyperlink>
    </w:p>
    <w:p w14:paraId="3F58C770" w14:textId="279A1414" w:rsidR="00FD1AAF" w:rsidRDefault="00FD1AAF">
      <w:pPr>
        <w:pStyle w:val="TOC1"/>
        <w:tabs>
          <w:tab w:val="right" w:leader="dot" w:pos="9350"/>
        </w:tabs>
        <w:rPr>
          <w:noProof/>
        </w:rPr>
      </w:pPr>
      <w:hyperlink w:anchor="_Toc224227221" w:history="1">
        <w:r w:rsidRPr="008D1F6D">
          <w:rPr>
            <w:rStyle w:val="Hyperlink"/>
            <w:noProof/>
          </w:rPr>
          <w:t>5. Ongoing Monitoring</w:t>
        </w:r>
        <w:r>
          <w:rPr>
            <w:noProof/>
            <w:webHidden/>
          </w:rPr>
          <w:tab/>
        </w:r>
        <w:r>
          <w:rPr>
            <w:noProof/>
            <w:webHidden/>
          </w:rPr>
          <w:fldChar w:fldCharType="begin"/>
        </w:r>
        <w:r>
          <w:rPr>
            <w:noProof/>
            <w:webHidden/>
          </w:rPr>
          <w:instrText xml:space="preserve"> PAGEREF _Toc224227221 \h </w:instrText>
        </w:r>
        <w:r>
          <w:rPr>
            <w:noProof/>
            <w:webHidden/>
          </w:rPr>
        </w:r>
        <w:r>
          <w:rPr>
            <w:noProof/>
            <w:webHidden/>
          </w:rPr>
          <w:fldChar w:fldCharType="separate"/>
        </w:r>
        <w:r>
          <w:rPr>
            <w:noProof/>
            <w:webHidden/>
          </w:rPr>
          <w:t>4</w:t>
        </w:r>
        <w:r>
          <w:rPr>
            <w:noProof/>
            <w:webHidden/>
          </w:rPr>
          <w:fldChar w:fldCharType="end"/>
        </w:r>
      </w:hyperlink>
    </w:p>
    <w:p w14:paraId="4BE7F8EA" w14:textId="097F6344" w:rsidR="00FD1AAF" w:rsidRDefault="00FD1AAF">
      <w:pPr>
        <w:pStyle w:val="TOC1"/>
        <w:tabs>
          <w:tab w:val="right" w:leader="dot" w:pos="9350"/>
        </w:tabs>
        <w:rPr>
          <w:noProof/>
        </w:rPr>
      </w:pPr>
      <w:hyperlink w:anchor="_Toc224227222" w:history="1">
        <w:r w:rsidRPr="008D1F6D">
          <w:rPr>
            <w:rStyle w:val="Hyperlink"/>
            <w:noProof/>
          </w:rPr>
          <w:t>Procedure for Termination of AR Relationships</w:t>
        </w:r>
        <w:r>
          <w:rPr>
            <w:noProof/>
            <w:webHidden/>
          </w:rPr>
          <w:tab/>
        </w:r>
        <w:r>
          <w:rPr>
            <w:noProof/>
            <w:webHidden/>
          </w:rPr>
          <w:fldChar w:fldCharType="begin"/>
        </w:r>
        <w:r>
          <w:rPr>
            <w:noProof/>
            <w:webHidden/>
          </w:rPr>
          <w:instrText xml:space="preserve"> PAGEREF _Toc224227222 \h </w:instrText>
        </w:r>
        <w:r>
          <w:rPr>
            <w:noProof/>
            <w:webHidden/>
          </w:rPr>
        </w:r>
        <w:r>
          <w:rPr>
            <w:noProof/>
            <w:webHidden/>
          </w:rPr>
          <w:fldChar w:fldCharType="separate"/>
        </w:r>
        <w:r>
          <w:rPr>
            <w:noProof/>
            <w:webHidden/>
          </w:rPr>
          <w:t>4</w:t>
        </w:r>
        <w:r>
          <w:rPr>
            <w:noProof/>
            <w:webHidden/>
          </w:rPr>
          <w:fldChar w:fldCharType="end"/>
        </w:r>
      </w:hyperlink>
    </w:p>
    <w:p w14:paraId="1D45120F" w14:textId="3915A5D4" w:rsidR="00FD1AAF" w:rsidRDefault="00FD1AAF">
      <w:pPr>
        <w:pStyle w:val="TOC2"/>
        <w:tabs>
          <w:tab w:val="right" w:leader="dot" w:pos="9350"/>
        </w:tabs>
        <w:rPr>
          <w:noProof/>
        </w:rPr>
      </w:pPr>
      <w:hyperlink w:anchor="_Toc224227223" w:history="1">
        <w:r w:rsidRPr="008D1F6D">
          <w:rPr>
            <w:rStyle w:val="Hyperlink"/>
            <w:noProof/>
          </w:rPr>
          <w:t>1. Principles</w:t>
        </w:r>
        <w:r>
          <w:rPr>
            <w:noProof/>
            <w:webHidden/>
          </w:rPr>
          <w:tab/>
        </w:r>
        <w:r>
          <w:rPr>
            <w:noProof/>
            <w:webHidden/>
          </w:rPr>
          <w:fldChar w:fldCharType="begin"/>
        </w:r>
        <w:r>
          <w:rPr>
            <w:noProof/>
            <w:webHidden/>
          </w:rPr>
          <w:instrText xml:space="preserve"> PAGEREF _Toc224227223 \h </w:instrText>
        </w:r>
        <w:r>
          <w:rPr>
            <w:noProof/>
            <w:webHidden/>
          </w:rPr>
        </w:r>
        <w:r>
          <w:rPr>
            <w:noProof/>
            <w:webHidden/>
          </w:rPr>
          <w:fldChar w:fldCharType="separate"/>
        </w:r>
        <w:r>
          <w:rPr>
            <w:noProof/>
            <w:webHidden/>
          </w:rPr>
          <w:t>4</w:t>
        </w:r>
        <w:r>
          <w:rPr>
            <w:noProof/>
            <w:webHidden/>
          </w:rPr>
          <w:fldChar w:fldCharType="end"/>
        </w:r>
      </w:hyperlink>
    </w:p>
    <w:p w14:paraId="7DD2963F" w14:textId="0064A4B8" w:rsidR="00FD1AAF" w:rsidRDefault="00FD1AAF">
      <w:pPr>
        <w:pStyle w:val="TOC2"/>
        <w:tabs>
          <w:tab w:val="right" w:leader="dot" w:pos="9350"/>
        </w:tabs>
        <w:rPr>
          <w:noProof/>
        </w:rPr>
      </w:pPr>
      <w:hyperlink w:anchor="_Toc224227224" w:history="1">
        <w:r w:rsidRPr="008D1F6D">
          <w:rPr>
            <w:rStyle w:val="Hyperlink"/>
            <w:noProof/>
          </w:rPr>
          <w:t>2. Grounds for Termination</w:t>
        </w:r>
        <w:r>
          <w:rPr>
            <w:noProof/>
            <w:webHidden/>
          </w:rPr>
          <w:tab/>
        </w:r>
        <w:r>
          <w:rPr>
            <w:noProof/>
            <w:webHidden/>
          </w:rPr>
          <w:fldChar w:fldCharType="begin"/>
        </w:r>
        <w:r>
          <w:rPr>
            <w:noProof/>
            <w:webHidden/>
          </w:rPr>
          <w:instrText xml:space="preserve"> PAGEREF _Toc224227224 \h </w:instrText>
        </w:r>
        <w:r>
          <w:rPr>
            <w:noProof/>
            <w:webHidden/>
          </w:rPr>
        </w:r>
        <w:r>
          <w:rPr>
            <w:noProof/>
            <w:webHidden/>
          </w:rPr>
          <w:fldChar w:fldCharType="separate"/>
        </w:r>
        <w:r>
          <w:rPr>
            <w:noProof/>
            <w:webHidden/>
          </w:rPr>
          <w:t>5</w:t>
        </w:r>
        <w:r>
          <w:rPr>
            <w:noProof/>
            <w:webHidden/>
          </w:rPr>
          <w:fldChar w:fldCharType="end"/>
        </w:r>
      </w:hyperlink>
    </w:p>
    <w:p w14:paraId="12DAF60F" w14:textId="6B540C2B" w:rsidR="00FD1AAF" w:rsidRDefault="00FD1AAF">
      <w:pPr>
        <w:pStyle w:val="TOC2"/>
        <w:tabs>
          <w:tab w:val="right" w:leader="dot" w:pos="9350"/>
        </w:tabs>
        <w:rPr>
          <w:noProof/>
        </w:rPr>
      </w:pPr>
      <w:hyperlink w:anchor="_Toc224227225" w:history="1">
        <w:r w:rsidRPr="008D1F6D">
          <w:rPr>
            <w:rStyle w:val="Hyperlink"/>
            <w:noProof/>
          </w:rPr>
          <w:t>3. Procedure</w:t>
        </w:r>
        <w:r>
          <w:rPr>
            <w:noProof/>
            <w:webHidden/>
          </w:rPr>
          <w:tab/>
        </w:r>
        <w:r>
          <w:rPr>
            <w:noProof/>
            <w:webHidden/>
          </w:rPr>
          <w:fldChar w:fldCharType="begin"/>
        </w:r>
        <w:r>
          <w:rPr>
            <w:noProof/>
            <w:webHidden/>
          </w:rPr>
          <w:instrText xml:space="preserve"> PAGEREF _Toc224227225 \h </w:instrText>
        </w:r>
        <w:r>
          <w:rPr>
            <w:noProof/>
            <w:webHidden/>
          </w:rPr>
        </w:r>
        <w:r>
          <w:rPr>
            <w:noProof/>
            <w:webHidden/>
          </w:rPr>
          <w:fldChar w:fldCharType="separate"/>
        </w:r>
        <w:r>
          <w:rPr>
            <w:noProof/>
            <w:webHidden/>
          </w:rPr>
          <w:t>5</w:t>
        </w:r>
        <w:r>
          <w:rPr>
            <w:noProof/>
            <w:webHidden/>
          </w:rPr>
          <w:fldChar w:fldCharType="end"/>
        </w:r>
      </w:hyperlink>
    </w:p>
    <w:p w14:paraId="2CFB5A45" w14:textId="7D38694E" w:rsidR="00FD1AAF" w:rsidRDefault="00FD1AAF" w:rsidP="00FD1AAF">
      <w:pPr>
        <w:pStyle w:val="Heading1"/>
      </w:pPr>
      <w:r>
        <w:fldChar w:fldCharType="end"/>
      </w:r>
    </w:p>
    <w:p w14:paraId="50009C99" w14:textId="7E0BFD24" w:rsidR="005734EA" w:rsidRPr="005734EA" w:rsidRDefault="005734EA" w:rsidP="00FD1AAF">
      <w:pPr>
        <w:pStyle w:val="Heading1"/>
      </w:pPr>
      <w:bookmarkStart w:id="0" w:name="_Toc224227217"/>
      <w:r w:rsidRPr="005734EA">
        <w:t>1. Purpose</w:t>
      </w:r>
      <w:bookmarkEnd w:id="0"/>
      <w:r w:rsidRPr="005734EA">
        <w:t> </w:t>
      </w:r>
    </w:p>
    <w:p w14:paraId="42846C9A" w14:textId="7C397859" w:rsidR="005734EA" w:rsidRPr="005734EA" w:rsidRDefault="005734EA" w:rsidP="005734EA">
      <w:r w:rsidRPr="005734EA">
        <w:t xml:space="preserve">This policy sets out how </w:t>
      </w:r>
      <w:r w:rsidR="00FD1AAF" w:rsidRPr="00FD1AAF">
        <w:rPr>
          <w:color w:val="EE0000"/>
        </w:rPr>
        <w:t>FIRM NAME</w:t>
      </w:r>
      <w:r w:rsidRPr="005734EA">
        <w:rPr>
          <w:color w:val="EE0000"/>
        </w:rPr>
        <w:t xml:space="preserve"> </w:t>
      </w:r>
      <w:r w:rsidRPr="005734EA">
        <w:t>(“the Firm”) governs and oversees its Appointed Representatives (“ARs”), in line with FCA requirements under SUP 12 and the Consumer Duty. It ensures effective oversight, risk management, and fair treatment of clients across the AR network. </w:t>
      </w:r>
    </w:p>
    <w:p w14:paraId="6D4733AC" w14:textId="77777777" w:rsidR="005734EA" w:rsidRPr="005734EA" w:rsidRDefault="005734EA" w:rsidP="00FD1AAF">
      <w:pPr>
        <w:pStyle w:val="Heading1"/>
      </w:pPr>
      <w:bookmarkStart w:id="1" w:name="_Toc224227218"/>
      <w:r w:rsidRPr="005734EA">
        <w:t>2. Scope</w:t>
      </w:r>
      <w:bookmarkEnd w:id="1"/>
      <w:r w:rsidRPr="005734EA">
        <w:t> </w:t>
      </w:r>
    </w:p>
    <w:p w14:paraId="5F96449E" w14:textId="11888E4F" w:rsidR="005734EA" w:rsidRPr="005734EA" w:rsidRDefault="005734EA" w:rsidP="005734EA">
      <w:r w:rsidRPr="005734EA">
        <w:t xml:space="preserve">This policy applies to all AR firms engaged with </w:t>
      </w:r>
      <w:r w:rsidR="00FD1AAF" w:rsidRPr="00FD1AAF">
        <w:rPr>
          <w:color w:val="EE0000"/>
        </w:rPr>
        <w:t>FIRM NAME</w:t>
      </w:r>
      <w:r w:rsidRPr="005734EA">
        <w:t>, including their advisers, employees, and representatives. </w:t>
      </w:r>
    </w:p>
    <w:p w14:paraId="22D35A69" w14:textId="77777777" w:rsidR="005734EA" w:rsidRPr="005734EA" w:rsidRDefault="005734EA" w:rsidP="00FD1AAF">
      <w:pPr>
        <w:pStyle w:val="Heading1"/>
      </w:pPr>
      <w:bookmarkStart w:id="2" w:name="_Toc224227219"/>
      <w:r w:rsidRPr="005734EA">
        <w:t>3. Governance Principles</w:t>
      </w:r>
      <w:bookmarkEnd w:id="2"/>
      <w:r w:rsidRPr="005734EA">
        <w:t> </w:t>
      </w:r>
    </w:p>
    <w:p w14:paraId="21402F09" w14:textId="77777777" w:rsidR="005734EA" w:rsidRPr="005734EA" w:rsidRDefault="005734EA" w:rsidP="005734EA">
      <w:pPr>
        <w:numPr>
          <w:ilvl w:val="0"/>
          <w:numId w:val="1"/>
        </w:numPr>
      </w:pPr>
      <w:r w:rsidRPr="005734EA">
        <w:t>Accountability: The Firm, as the Principal, accepts full regulatory responsibility for the actions of its ARs. </w:t>
      </w:r>
    </w:p>
    <w:p w14:paraId="36592B49" w14:textId="77777777" w:rsidR="005734EA" w:rsidRPr="005734EA" w:rsidRDefault="005734EA" w:rsidP="005734EA">
      <w:pPr>
        <w:numPr>
          <w:ilvl w:val="0"/>
          <w:numId w:val="2"/>
        </w:numPr>
      </w:pPr>
      <w:r w:rsidRPr="005734EA">
        <w:t>Proportionality: Oversight and monitoring will be risk-based and tailored to the size, scale, and complexity of each AR. </w:t>
      </w:r>
    </w:p>
    <w:p w14:paraId="15DE6025" w14:textId="77777777" w:rsidR="005734EA" w:rsidRPr="005734EA" w:rsidRDefault="005734EA" w:rsidP="005734EA">
      <w:pPr>
        <w:numPr>
          <w:ilvl w:val="0"/>
          <w:numId w:val="3"/>
        </w:numPr>
      </w:pPr>
      <w:r w:rsidRPr="005734EA">
        <w:t>Transparency: Expectations will be clearly documented in AR agreements, with regular communication and reporting. </w:t>
      </w:r>
    </w:p>
    <w:p w14:paraId="0F1B3001" w14:textId="79F4C652" w:rsidR="005734EA" w:rsidRPr="005734EA" w:rsidRDefault="005734EA" w:rsidP="005734EA">
      <w:pPr>
        <w:numPr>
          <w:ilvl w:val="0"/>
          <w:numId w:val="4"/>
        </w:numPr>
      </w:pPr>
      <w:r w:rsidRPr="005734EA">
        <w:lastRenderedPageBreak/>
        <w:t xml:space="preserve">Consumer Duty: ARs must act to deliver good outcomes for clients, consistent with </w:t>
      </w:r>
      <w:r w:rsidR="00FD1AAF" w:rsidRPr="00FD1AAF">
        <w:rPr>
          <w:color w:val="EE0000"/>
        </w:rPr>
        <w:t>FIRM NAME</w:t>
      </w:r>
      <w:r w:rsidR="00FD1AAF">
        <w:rPr>
          <w:color w:val="EE0000"/>
        </w:rPr>
        <w:t xml:space="preserve">’s </w:t>
      </w:r>
      <w:r w:rsidRPr="005734EA">
        <w:t>culture and values. </w:t>
      </w:r>
    </w:p>
    <w:p w14:paraId="210D518F" w14:textId="77777777" w:rsidR="005734EA" w:rsidRPr="005734EA" w:rsidRDefault="005734EA" w:rsidP="00FD1AAF">
      <w:pPr>
        <w:pStyle w:val="Heading1"/>
      </w:pPr>
      <w:bookmarkStart w:id="3" w:name="_Toc224227220"/>
      <w:r w:rsidRPr="005734EA">
        <w:t>4. Oversight Structure</w:t>
      </w:r>
      <w:bookmarkEnd w:id="3"/>
      <w:r w:rsidRPr="005734EA">
        <w:t> </w:t>
      </w:r>
    </w:p>
    <w:p w14:paraId="68183AD3" w14:textId="681F6915" w:rsidR="00FD1AAF" w:rsidRDefault="005734EA" w:rsidP="00FD1AAF">
      <w:pPr>
        <w:pStyle w:val="ListParagraph"/>
        <w:numPr>
          <w:ilvl w:val="0"/>
          <w:numId w:val="19"/>
        </w:numPr>
      </w:pPr>
      <w:r w:rsidRPr="005734EA">
        <w:t xml:space="preserve">Board Responsibility: The Board of </w:t>
      </w:r>
      <w:r w:rsidR="00FD1AAF" w:rsidRPr="00FD1AAF">
        <w:rPr>
          <w:color w:val="EE0000"/>
        </w:rPr>
        <w:t xml:space="preserve">FIRM NAME </w:t>
      </w:r>
      <w:r w:rsidRPr="005734EA">
        <w:t>retains ultimate accountability for AR governance. </w:t>
      </w:r>
    </w:p>
    <w:p w14:paraId="634FCE44" w14:textId="77777777" w:rsidR="00FD1AAF" w:rsidRDefault="005734EA" w:rsidP="00FD1AAF">
      <w:pPr>
        <w:pStyle w:val="ListParagraph"/>
        <w:numPr>
          <w:ilvl w:val="0"/>
          <w:numId w:val="19"/>
        </w:numPr>
      </w:pPr>
      <w:r w:rsidRPr="005734EA">
        <w:t>SMF Oversight: The SMF16 (Compliance Oversight) and SMF17 (MLRO) are responsible for day-to-day monitoring of ARs. </w:t>
      </w:r>
    </w:p>
    <w:p w14:paraId="2A498B7A" w14:textId="77777777" w:rsidR="00FD1AAF" w:rsidRDefault="005734EA" w:rsidP="00FD1AAF">
      <w:pPr>
        <w:pStyle w:val="ListParagraph"/>
        <w:numPr>
          <w:ilvl w:val="0"/>
          <w:numId w:val="19"/>
        </w:numPr>
        <w:ind w:left="709"/>
      </w:pPr>
      <w:r w:rsidRPr="005734EA">
        <w:t>Compliance Monitoring: </w:t>
      </w:r>
    </w:p>
    <w:p w14:paraId="646B56A2" w14:textId="77777777" w:rsidR="00FD1AAF" w:rsidRDefault="005734EA" w:rsidP="00FD1AAF">
      <w:pPr>
        <w:pStyle w:val="ListParagraph"/>
        <w:numPr>
          <w:ilvl w:val="0"/>
          <w:numId w:val="19"/>
        </w:numPr>
        <w:ind w:left="1134"/>
      </w:pPr>
      <w:r w:rsidRPr="005734EA">
        <w:t>Annual Review: Each AR is subject to a formal annual monitoring review covering advice quality, governance, complaints, solvency, training and competence, and cultural alignment.</w:t>
      </w:r>
    </w:p>
    <w:p w14:paraId="7AAC2876" w14:textId="77777777" w:rsidR="00FD1AAF" w:rsidRDefault="005734EA" w:rsidP="00FD1AAF">
      <w:pPr>
        <w:pStyle w:val="ListParagraph"/>
        <w:numPr>
          <w:ilvl w:val="0"/>
          <w:numId w:val="19"/>
        </w:numPr>
        <w:ind w:left="1134"/>
      </w:pPr>
      <w:r w:rsidRPr="005734EA">
        <w:t>Monthly Oversight: All AR business is submitted through the Firm’s back-office system (</w:t>
      </w:r>
      <w:r w:rsidR="00FD1AAF" w:rsidRPr="00FD1AAF">
        <w:rPr>
          <w:color w:val="EE0000"/>
        </w:rPr>
        <w:t>NAME</w:t>
      </w:r>
      <w:r w:rsidRPr="005734EA">
        <w:t>) in the same way as employed advisers, allowing KPIs and MI (e.g., case volumes, complaint data, file review outcomes, training completions) to be monitored on an ongoing monthly basis.</w:t>
      </w:r>
    </w:p>
    <w:p w14:paraId="68CFADCA" w14:textId="77777777" w:rsidR="00FD1AAF" w:rsidRDefault="005734EA" w:rsidP="00FD1AAF">
      <w:pPr>
        <w:pStyle w:val="ListParagraph"/>
        <w:numPr>
          <w:ilvl w:val="0"/>
          <w:numId w:val="19"/>
        </w:numPr>
        <w:ind w:left="709"/>
      </w:pPr>
      <w:r w:rsidRPr="005734EA">
        <w:t>Training &amp; Competence: AR advisers are subject to the Firm’s T&amp;C scheme and CPD monitoring.</w:t>
      </w:r>
    </w:p>
    <w:p w14:paraId="16FEA176" w14:textId="2112C9AD" w:rsidR="005734EA" w:rsidRPr="005734EA" w:rsidRDefault="005734EA" w:rsidP="00FD1AAF">
      <w:pPr>
        <w:pStyle w:val="ListParagraph"/>
        <w:numPr>
          <w:ilvl w:val="0"/>
          <w:numId w:val="19"/>
        </w:numPr>
        <w:ind w:left="709"/>
      </w:pPr>
      <w:r w:rsidRPr="005734EA">
        <w:t>Risk Framework: Each AR will be </w:t>
      </w:r>
      <w:proofErr w:type="spellStart"/>
      <w:r w:rsidRPr="005734EA">
        <w:t>categorised</w:t>
      </w:r>
      <w:proofErr w:type="spellEnd"/>
      <w:r w:rsidRPr="005734EA">
        <w:t> by risk rating (</w:t>
      </w:r>
      <w:r w:rsidRPr="00FD1AAF">
        <w:rPr>
          <w:color w:val="EE0000"/>
        </w:rPr>
        <w:t>low/medium/high</w:t>
      </w:r>
      <w:r w:rsidRPr="005734EA">
        <w:t>) with oversight intensity adjusted accordingly. </w:t>
      </w:r>
    </w:p>
    <w:p w14:paraId="4184DC6C" w14:textId="77777777" w:rsidR="005734EA" w:rsidRPr="005734EA" w:rsidRDefault="005734EA" w:rsidP="00FD1AAF">
      <w:pPr>
        <w:pStyle w:val="Heading1"/>
      </w:pPr>
      <w:bookmarkStart w:id="4" w:name="_Toc224227221"/>
      <w:r w:rsidRPr="005734EA">
        <w:t>5. Ongoing Monitoring</w:t>
      </w:r>
      <w:bookmarkEnd w:id="4"/>
      <w:r w:rsidRPr="005734EA">
        <w:t> </w:t>
      </w:r>
    </w:p>
    <w:p w14:paraId="6DB4088A" w14:textId="77777777" w:rsidR="00FD1AAF" w:rsidRDefault="005734EA" w:rsidP="00FD1AAF">
      <w:pPr>
        <w:pStyle w:val="ListParagraph"/>
        <w:numPr>
          <w:ilvl w:val="0"/>
          <w:numId w:val="20"/>
        </w:numPr>
      </w:pPr>
      <w:r w:rsidRPr="005734EA">
        <w:t>Initial due diligence prior to appointment, including solvency, governance, competence, and cultural alignment. </w:t>
      </w:r>
    </w:p>
    <w:p w14:paraId="28756B0A" w14:textId="6C2FD2A1" w:rsidR="00FD1AAF" w:rsidRDefault="005734EA" w:rsidP="00FD1AAF">
      <w:pPr>
        <w:pStyle w:val="ListParagraph"/>
        <w:numPr>
          <w:ilvl w:val="0"/>
          <w:numId w:val="20"/>
        </w:numPr>
      </w:pPr>
      <w:r w:rsidRPr="005734EA">
        <w:t>Monthly MI review from the back-office system (</w:t>
      </w:r>
      <w:r w:rsidR="00FD1AAF" w:rsidRPr="00FD1AAF">
        <w:rPr>
          <w:color w:val="EE0000"/>
        </w:rPr>
        <w:t>NAME</w:t>
      </w:r>
      <w:r w:rsidRPr="005734EA">
        <w:t>), with exceptions escalated to compliance. </w:t>
      </w:r>
    </w:p>
    <w:p w14:paraId="48B405BE" w14:textId="77777777" w:rsidR="00FD1AAF" w:rsidRDefault="005734EA" w:rsidP="00FD1AAF">
      <w:pPr>
        <w:pStyle w:val="ListParagraph"/>
        <w:numPr>
          <w:ilvl w:val="0"/>
          <w:numId w:val="20"/>
        </w:numPr>
      </w:pPr>
      <w:r w:rsidRPr="005734EA">
        <w:t>Annual AR monitoring review, documented and signed off by the Board. </w:t>
      </w:r>
    </w:p>
    <w:p w14:paraId="2108E9B0" w14:textId="56C46DC5" w:rsidR="005734EA" w:rsidRPr="005734EA" w:rsidRDefault="005734EA" w:rsidP="00FD1AAF">
      <w:pPr>
        <w:pStyle w:val="ListParagraph"/>
        <w:numPr>
          <w:ilvl w:val="0"/>
          <w:numId w:val="20"/>
        </w:numPr>
      </w:pPr>
      <w:r w:rsidRPr="005734EA">
        <w:t>Immediate escalation procedures in the event of breaches or client detriment. </w:t>
      </w:r>
    </w:p>
    <w:p w14:paraId="6DF9BF3B" w14:textId="77777777" w:rsidR="005734EA" w:rsidRPr="005734EA" w:rsidRDefault="005734EA" w:rsidP="00FD1AAF">
      <w:pPr>
        <w:pStyle w:val="Heading1"/>
      </w:pPr>
      <w:bookmarkStart w:id="5" w:name="_Toc224227222"/>
      <w:r w:rsidRPr="005734EA">
        <w:t>Procedure for Termination of AR Relationships</w:t>
      </w:r>
      <w:bookmarkEnd w:id="5"/>
      <w:r w:rsidRPr="005734EA">
        <w:t> </w:t>
      </w:r>
    </w:p>
    <w:p w14:paraId="212A206A" w14:textId="77777777" w:rsidR="005734EA" w:rsidRPr="005734EA" w:rsidRDefault="005734EA" w:rsidP="00FD1AAF">
      <w:pPr>
        <w:pStyle w:val="Heading2"/>
      </w:pPr>
      <w:bookmarkStart w:id="6" w:name="_Toc224227223"/>
      <w:r w:rsidRPr="005734EA">
        <w:t>1. Principles</w:t>
      </w:r>
      <w:bookmarkEnd w:id="6"/>
      <w:r w:rsidRPr="005734EA">
        <w:t> </w:t>
      </w:r>
    </w:p>
    <w:p w14:paraId="682A3E39" w14:textId="77777777" w:rsidR="005734EA" w:rsidRPr="005734EA" w:rsidRDefault="005734EA" w:rsidP="005734EA">
      <w:r w:rsidRPr="005734EA">
        <w:t>The Firm retains the right to terminate an AR relationship at any time where regulatory, contractual, or conduct risks arise. Termination must be managed in an orderly manner to protect clients and meet FCA expectations. </w:t>
      </w:r>
    </w:p>
    <w:p w14:paraId="37A207FE" w14:textId="77777777" w:rsidR="005734EA" w:rsidRPr="005734EA" w:rsidRDefault="005734EA" w:rsidP="00FD1AAF">
      <w:pPr>
        <w:pStyle w:val="Heading2"/>
      </w:pPr>
      <w:bookmarkStart w:id="7" w:name="_Toc224227224"/>
      <w:r w:rsidRPr="005734EA">
        <w:lastRenderedPageBreak/>
        <w:t>2. Grounds for Termination</w:t>
      </w:r>
      <w:bookmarkEnd w:id="7"/>
      <w:r w:rsidRPr="005734EA">
        <w:t> </w:t>
      </w:r>
    </w:p>
    <w:p w14:paraId="5E197BB4" w14:textId="77777777" w:rsidR="005734EA" w:rsidRPr="005734EA" w:rsidRDefault="005734EA" w:rsidP="00FD1AAF">
      <w:pPr>
        <w:numPr>
          <w:ilvl w:val="0"/>
          <w:numId w:val="5"/>
        </w:numPr>
        <w:tabs>
          <w:tab w:val="clear" w:pos="720"/>
          <w:tab w:val="num" w:pos="426"/>
        </w:tabs>
      </w:pPr>
      <w:r w:rsidRPr="005734EA">
        <w:t>Regulatory Breach: FCA rule breach, enforcement action, or failure to comply with oversight requirements. </w:t>
      </w:r>
    </w:p>
    <w:p w14:paraId="12AB9FD4" w14:textId="77777777" w:rsidR="005734EA" w:rsidRPr="005734EA" w:rsidRDefault="005734EA" w:rsidP="00FD1AAF">
      <w:pPr>
        <w:numPr>
          <w:ilvl w:val="0"/>
          <w:numId w:val="6"/>
        </w:numPr>
        <w:tabs>
          <w:tab w:val="clear" w:pos="720"/>
          <w:tab w:val="num" w:pos="426"/>
        </w:tabs>
      </w:pPr>
      <w:r w:rsidRPr="005734EA">
        <w:t>Conduct Risk: Evidence of poor advice, mis-selling, or </w:t>
      </w:r>
      <w:proofErr w:type="spellStart"/>
      <w:r w:rsidRPr="005734EA">
        <w:t>behaviour</w:t>
      </w:r>
      <w:proofErr w:type="spellEnd"/>
      <w:r w:rsidRPr="005734EA">
        <w:t> inconsistent with Consumer Duty. </w:t>
      </w:r>
    </w:p>
    <w:p w14:paraId="5D1F5005" w14:textId="77777777" w:rsidR="005734EA" w:rsidRPr="005734EA" w:rsidRDefault="005734EA" w:rsidP="00FD1AAF">
      <w:pPr>
        <w:numPr>
          <w:ilvl w:val="0"/>
          <w:numId w:val="7"/>
        </w:numPr>
        <w:tabs>
          <w:tab w:val="clear" w:pos="720"/>
          <w:tab w:val="num" w:pos="426"/>
        </w:tabs>
      </w:pPr>
      <w:r w:rsidRPr="005734EA">
        <w:t>Financial Issues: Insolvency, financial crime concerns, or failure to maintain adequate resources. </w:t>
      </w:r>
    </w:p>
    <w:p w14:paraId="154DBF03" w14:textId="77777777" w:rsidR="005734EA" w:rsidRPr="005734EA" w:rsidRDefault="005734EA" w:rsidP="00FD1AAF">
      <w:pPr>
        <w:numPr>
          <w:ilvl w:val="0"/>
          <w:numId w:val="8"/>
        </w:numPr>
        <w:tabs>
          <w:tab w:val="clear" w:pos="720"/>
          <w:tab w:val="num" w:pos="426"/>
        </w:tabs>
      </w:pPr>
      <w:r w:rsidRPr="005734EA">
        <w:t>Contractual Breach: Failure to meet obligations under the AR agreement. </w:t>
      </w:r>
    </w:p>
    <w:p w14:paraId="62A59ED8" w14:textId="77777777" w:rsidR="005734EA" w:rsidRPr="005734EA" w:rsidRDefault="005734EA" w:rsidP="00FD1AAF">
      <w:pPr>
        <w:numPr>
          <w:ilvl w:val="0"/>
          <w:numId w:val="9"/>
        </w:numPr>
        <w:tabs>
          <w:tab w:val="clear" w:pos="720"/>
          <w:tab w:val="num" w:pos="426"/>
        </w:tabs>
      </w:pPr>
      <w:r w:rsidRPr="005734EA">
        <w:t>Strategic Decision: Change in the Firm’s business model or risk appetite. </w:t>
      </w:r>
    </w:p>
    <w:p w14:paraId="06CBAC9F" w14:textId="77777777" w:rsidR="005734EA" w:rsidRPr="005734EA" w:rsidRDefault="005734EA" w:rsidP="00FD1AAF">
      <w:pPr>
        <w:pStyle w:val="Heading2"/>
      </w:pPr>
      <w:bookmarkStart w:id="8" w:name="_Toc224227225"/>
      <w:r w:rsidRPr="005734EA">
        <w:t>3. Procedure</w:t>
      </w:r>
      <w:bookmarkEnd w:id="8"/>
      <w:r w:rsidRPr="005734EA">
        <w:t> </w:t>
      </w:r>
    </w:p>
    <w:p w14:paraId="4EAA15AB" w14:textId="77777777" w:rsidR="005734EA" w:rsidRPr="005734EA" w:rsidRDefault="005734EA" w:rsidP="005734EA">
      <w:pPr>
        <w:numPr>
          <w:ilvl w:val="0"/>
          <w:numId w:val="10"/>
        </w:numPr>
      </w:pPr>
      <w:r w:rsidRPr="005734EA">
        <w:t>Identification of Issues: Concerns identified through MI, file reviews, complaints, or regulatory feedback. </w:t>
      </w:r>
    </w:p>
    <w:p w14:paraId="6E0E2D04" w14:textId="77777777" w:rsidR="005734EA" w:rsidRPr="005734EA" w:rsidRDefault="005734EA" w:rsidP="005734EA">
      <w:pPr>
        <w:numPr>
          <w:ilvl w:val="0"/>
          <w:numId w:val="11"/>
        </w:numPr>
      </w:pPr>
      <w:r w:rsidRPr="005734EA">
        <w:t>Escalation: Compliance escalates to the SMF16/Board with supporting evidence. </w:t>
      </w:r>
    </w:p>
    <w:p w14:paraId="30E1E1DF" w14:textId="77777777" w:rsidR="005734EA" w:rsidRPr="005734EA" w:rsidRDefault="005734EA" w:rsidP="005734EA">
      <w:pPr>
        <w:numPr>
          <w:ilvl w:val="0"/>
          <w:numId w:val="12"/>
        </w:numPr>
      </w:pPr>
      <w:r w:rsidRPr="005734EA">
        <w:t>Remediation Opportunity: Where appropriate, AR is given a defined period (typically 14–28 days) to remediate issues. </w:t>
      </w:r>
    </w:p>
    <w:p w14:paraId="64A305BF" w14:textId="77777777" w:rsidR="005734EA" w:rsidRPr="005734EA" w:rsidRDefault="005734EA" w:rsidP="005734EA">
      <w:pPr>
        <w:numPr>
          <w:ilvl w:val="0"/>
          <w:numId w:val="13"/>
        </w:numPr>
      </w:pPr>
      <w:r w:rsidRPr="005734EA">
        <w:t>Decision to Terminate: Board resolution to terminate the AR relationship, recorded in minutes. </w:t>
      </w:r>
    </w:p>
    <w:p w14:paraId="5D205324" w14:textId="77777777" w:rsidR="005734EA" w:rsidRPr="005734EA" w:rsidRDefault="005734EA" w:rsidP="005734EA">
      <w:pPr>
        <w:numPr>
          <w:ilvl w:val="0"/>
          <w:numId w:val="14"/>
        </w:numPr>
      </w:pPr>
      <w:r w:rsidRPr="005734EA">
        <w:t>FCA Notification: Inform the FCA via Connect immediately in line with SUP 12.8. </w:t>
      </w:r>
    </w:p>
    <w:p w14:paraId="3C22755A" w14:textId="77777777" w:rsidR="005734EA" w:rsidRPr="005734EA" w:rsidRDefault="005734EA" w:rsidP="005734EA">
      <w:pPr>
        <w:numPr>
          <w:ilvl w:val="0"/>
          <w:numId w:val="15"/>
        </w:numPr>
      </w:pPr>
      <w:r w:rsidRPr="005734EA">
        <w:t>Client Protection Measures: Inform clients promptly, ensure continuity of servicing, secure client files and agreements. </w:t>
      </w:r>
    </w:p>
    <w:p w14:paraId="10FCDF68" w14:textId="77777777" w:rsidR="005734EA" w:rsidRPr="005734EA" w:rsidRDefault="005734EA" w:rsidP="005734EA">
      <w:pPr>
        <w:numPr>
          <w:ilvl w:val="0"/>
          <w:numId w:val="16"/>
        </w:numPr>
      </w:pPr>
      <w:r w:rsidRPr="005734EA">
        <w:t>Operational Offboarding: Disable AR system access, revoke permissions, conduct final compliance audit of outstanding cases. </w:t>
      </w:r>
    </w:p>
    <w:p w14:paraId="501346DD" w14:textId="77777777" w:rsidR="005734EA" w:rsidRPr="005734EA" w:rsidRDefault="005734EA" w:rsidP="005734EA">
      <w:pPr>
        <w:numPr>
          <w:ilvl w:val="0"/>
          <w:numId w:val="17"/>
        </w:numPr>
      </w:pPr>
      <w:r w:rsidRPr="005734EA">
        <w:t>Post-Termination Review: Compliance documents lessons learned and updates the AR risk framework. </w:t>
      </w:r>
    </w:p>
    <w:p w14:paraId="0E925AF7" w14:textId="77777777" w:rsidR="005734EA" w:rsidRPr="005734EA" w:rsidRDefault="005734EA" w:rsidP="005734EA">
      <w:pPr>
        <w:rPr>
          <w:b/>
          <w:bCs/>
        </w:rPr>
      </w:pPr>
      <w:r w:rsidRPr="005734EA">
        <w:rPr>
          <w:b/>
          <w:bCs/>
        </w:rPr>
        <w:t>Regulatory References </w:t>
      </w:r>
    </w:p>
    <w:p w14:paraId="1FB85E92" w14:textId="77777777" w:rsidR="005734EA" w:rsidRPr="005734EA" w:rsidRDefault="005734EA" w:rsidP="005734EA">
      <w:r w:rsidRPr="005734EA">
        <w:t>• SUP 12: Appointed representatives </w:t>
      </w:r>
      <w:r w:rsidRPr="005734EA">
        <w:br/>
        <w:t>• SYSC 4–10: Systems and controls, governance, outsourcing </w:t>
      </w:r>
      <w:r w:rsidRPr="005734EA">
        <w:br/>
        <w:t>• PRIN &amp; Consumer Duty (PRIN 2A): Principles and cross-cutting obligations </w:t>
      </w:r>
      <w:r w:rsidRPr="005734EA">
        <w:br/>
        <w:t>• CONC (where applicable): Consumer credit AR activity </w:t>
      </w:r>
    </w:p>
    <w:p w14:paraId="71D190D6" w14:textId="77777777" w:rsidR="000A080B" w:rsidRDefault="000A080B"/>
    <w:sectPr w:rsidR="000A080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A983F" w14:textId="77777777" w:rsidR="006B066A" w:rsidRDefault="006B066A" w:rsidP="00FD1AAF">
      <w:pPr>
        <w:spacing w:after="0" w:line="240" w:lineRule="auto"/>
      </w:pPr>
      <w:r>
        <w:separator/>
      </w:r>
    </w:p>
  </w:endnote>
  <w:endnote w:type="continuationSeparator" w:id="0">
    <w:p w14:paraId="5C34E92C" w14:textId="77777777" w:rsidR="006B066A" w:rsidRDefault="006B066A" w:rsidP="00FD1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080131"/>
      <w:docPartObj>
        <w:docPartGallery w:val="Page Numbers (Bottom of Page)"/>
        <w:docPartUnique/>
      </w:docPartObj>
    </w:sdtPr>
    <w:sdtEndPr>
      <w:rPr>
        <w:color w:val="7F7F7F" w:themeColor="background1" w:themeShade="7F"/>
        <w:spacing w:val="60"/>
      </w:rPr>
    </w:sdtEndPr>
    <w:sdtContent>
      <w:p w14:paraId="4868E68D" w14:textId="52B9E2D7" w:rsidR="00FD1AAF" w:rsidRDefault="00FD1AA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D15AF4">
          <w:rPr>
            <w:color w:val="7F7F7F" w:themeColor="background1" w:themeShade="7F"/>
            <w:spacing w:val="60"/>
          </w:rPr>
          <w:tab/>
        </w:r>
        <w:r w:rsidR="00D15AF4">
          <w:rPr>
            <w:color w:val="7F7F7F" w:themeColor="background1" w:themeShade="7F"/>
            <w:spacing w:val="60"/>
          </w:rPr>
          <w:tab/>
          <w:t>Version: May 2026</w:t>
        </w:r>
      </w:p>
    </w:sdtContent>
  </w:sdt>
  <w:p w14:paraId="0F6AE520" w14:textId="77777777" w:rsidR="00FD1AAF" w:rsidRDefault="00FD1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2AB83" w14:textId="77777777" w:rsidR="006B066A" w:rsidRDefault="006B066A" w:rsidP="00FD1AAF">
      <w:pPr>
        <w:spacing w:after="0" w:line="240" w:lineRule="auto"/>
      </w:pPr>
      <w:r>
        <w:separator/>
      </w:r>
    </w:p>
  </w:footnote>
  <w:footnote w:type="continuationSeparator" w:id="0">
    <w:p w14:paraId="1D08E46C" w14:textId="77777777" w:rsidR="006B066A" w:rsidRDefault="006B066A" w:rsidP="00FD1A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26EB"/>
    <w:multiLevelType w:val="multilevel"/>
    <w:tmpl w:val="84E004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EF463E"/>
    <w:multiLevelType w:val="multilevel"/>
    <w:tmpl w:val="126E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1936AB"/>
    <w:multiLevelType w:val="multilevel"/>
    <w:tmpl w:val="0A6407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EC32F5"/>
    <w:multiLevelType w:val="multilevel"/>
    <w:tmpl w:val="22BCFF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A60E83"/>
    <w:multiLevelType w:val="multilevel"/>
    <w:tmpl w:val="ED92A5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242C08"/>
    <w:multiLevelType w:val="multilevel"/>
    <w:tmpl w:val="C550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1C1499"/>
    <w:multiLevelType w:val="multilevel"/>
    <w:tmpl w:val="AD1EE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403CD2"/>
    <w:multiLevelType w:val="multilevel"/>
    <w:tmpl w:val="2D1E3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CB2425"/>
    <w:multiLevelType w:val="multilevel"/>
    <w:tmpl w:val="C672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EA5A56"/>
    <w:multiLevelType w:val="multilevel"/>
    <w:tmpl w:val="DB5C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F46A0C"/>
    <w:multiLevelType w:val="multilevel"/>
    <w:tmpl w:val="3F5C0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4F3A60"/>
    <w:multiLevelType w:val="hybridMultilevel"/>
    <w:tmpl w:val="7F3C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3A2D4C"/>
    <w:multiLevelType w:val="multilevel"/>
    <w:tmpl w:val="FE9A1E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74361F"/>
    <w:multiLevelType w:val="multilevel"/>
    <w:tmpl w:val="91A00E7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644" w:hanging="564"/>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D425B01"/>
    <w:multiLevelType w:val="multilevel"/>
    <w:tmpl w:val="F290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C548DE"/>
    <w:multiLevelType w:val="multilevel"/>
    <w:tmpl w:val="5E6A78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CA362D"/>
    <w:multiLevelType w:val="hybridMultilevel"/>
    <w:tmpl w:val="21DC6FE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753A118B"/>
    <w:multiLevelType w:val="hybridMultilevel"/>
    <w:tmpl w:val="82127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2F0DD4"/>
    <w:multiLevelType w:val="multilevel"/>
    <w:tmpl w:val="77242E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FF6F02"/>
    <w:multiLevelType w:val="multilevel"/>
    <w:tmpl w:val="FE523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842074">
    <w:abstractNumId w:val="1"/>
  </w:num>
  <w:num w:numId="2" w16cid:durableId="392509201">
    <w:abstractNumId w:val="8"/>
  </w:num>
  <w:num w:numId="3" w16cid:durableId="858205549">
    <w:abstractNumId w:val="7"/>
  </w:num>
  <w:num w:numId="4" w16cid:durableId="1464883575">
    <w:abstractNumId w:val="13"/>
  </w:num>
  <w:num w:numId="5" w16cid:durableId="1027174815">
    <w:abstractNumId w:val="19"/>
  </w:num>
  <w:num w:numId="6" w16cid:durableId="1346397189">
    <w:abstractNumId w:val="6"/>
  </w:num>
  <w:num w:numId="7" w16cid:durableId="2105614363">
    <w:abstractNumId w:val="9"/>
  </w:num>
  <w:num w:numId="8" w16cid:durableId="564411944">
    <w:abstractNumId w:val="14"/>
  </w:num>
  <w:num w:numId="9" w16cid:durableId="1368140774">
    <w:abstractNumId w:val="5"/>
  </w:num>
  <w:num w:numId="10" w16cid:durableId="1202592592">
    <w:abstractNumId w:val="10"/>
  </w:num>
  <w:num w:numId="11" w16cid:durableId="1333685739">
    <w:abstractNumId w:val="0"/>
  </w:num>
  <w:num w:numId="12" w16cid:durableId="1023366176">
    <w:abstractNumId w:val="4"/>
  </w:num>
  <w:num w:numId="13" w16cid:durableId="754981001">
    <w:abstractNumId w:val="2"/>
  </w:num>
  <w:num w:numId="14" w16cid:durableId="2034266370">
    <w:abstractNumId w:val="18"/>
  </w:num>
  <w:num w:numId="15" w16cid:durableId="2136212949">
    <w:abstractNumId w:val="3"/>
  </w:num>
  <w:num w:numId="16" w16cid:durableId="1409157572">
    <w:abstractNumId w:val="15"/>
  </w:num>
  <w:num w:numId="17" w16cid:durableId="1905525303">
    <w:abstractNumId w:val="12"/>
  </w:num>
  <w:num w:numId="18" w16cid:durableId="185871231">
    <w:abstractNumId w:val="16"/>
  </w:num>
  <w:num w:numId="19" w16cid:durableId="620840409">
    <w:abstractNumId w:val="11"/>
  </w:num>
  <w:num w:numId="20" w16cid:durableId="20356926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4EA"/>
    <w:rsid w:val="000A080B"/>
    <w:rsid w:val="00130EF0"/>
    <w:rsid w:val="00217A7F"/>
    <w:rsid w:val="00295A85"/>
    <w:rsid w:val="005734EA"/>
    <w:rsid w:val="006B066A"/>
    <w:rsid w:val="00D15AF4"/>
    <w:rsid w:val="00E20597"/>
    <w:rsid w:val="00FD1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B93D4"/>
  <w15:chartTrackingRefBased/>
  <w15:docId w15:val="{C2A064FE-1C07-4C71-99E2-3376514F5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734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734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4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4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4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4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4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4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4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34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734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4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4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4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4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4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4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4EA"/>
    <w:rPr>
      <w:rFonts w:eastAsiaTheme="majorEastAsia" w:cstheme="majorBidi"/>
      <w:color w:val="272727" w:themeColor="text1" w:themeTint="D8"/>
    </w:rPr>
  </w:style>
  <w:style w:type="paragraph" w:styleId="Title">
    <w:name w:val="Title"/>
    <w:basedOn w:val="Normal"/>
    <w:next w:val="Normal"/>
    <w:link w:val="TitleChar"/>
    <w:uiPriority w:val="10"/>
    <w:qFormat/>
    <w:rsid w:val="005734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4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4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4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4EA"/>
    <w:pPr>
      <w:spacing w:before="160"/>
      <w:jc w:val="center"/>
    </w:pPr>
    <w:rPr>
      <w:i/>
      <w:iCs/>
      <w:color w:val="404040" w:themeColor="text1" w:themeTint="BF"/>
    </w:rPr>
  </w:style>
  <w:style w:type="character" w:customStyle="1" w:styleId="QuoteChar">
    <w:name w:val="Quote Char"/>
    <w:basedOn w:val="DefaultParagraphFont"/>
    <w:link w:val="Quote"/>
    <w:uiPriority w:val="29"/>
    <w:rsid w:val="005734EA"/>
    <w:rPr>
      <w:i/>
      <w:iCs/>
      <w:color w:val="404040" w:themeColor="text1" w:themeTint="BF"/>
    </w:rPr>
  </w:style>
  <w:style w:type="paragraph" w:styleId="ListParagraph">
    <w:name w:val="List Paragraph"/>
    <w:basedOn w:val="Normal"/>
    <w:uiPriority w:val="34"/>
    <w:qFormat/>
    <w:rsid w:val="005734EA"/>
    <w:pPr>
      <w:ind w:left="720"/>
      <w:contextualSpacing/>
    </w:pPr>
  </w:style>
  <w:style w:type="character" w:styleId="IntenseEmphasis">
    <w:name w:val="Intense Emphasis"/>
    <w:basedOn w:val="DefaultParagraphFont"/>
    <w:uiPriority w:val="21"/>
    <w:qFormat/>
    <w:rsid w:val="005734EA"/>
    <w:rPr>
      <w:i/>
      <w:iCs/>
      <w:color w:val="0F4761" w:themeColor="accent1" w:themeShade="BF"/>
    </w:rPr>
  </w:style>
  <w:style w:type="paragraph" w:styleId="IntenseQuote">
    <w:name w:val="Intense Quote"/>
    <w:basedOn w:val="Normal"/>
    <w:next w:val="Normal"/>
    <w:link w:val="IntenseQuoteChar"/>
    <w:uiPriority w:val="30"/>
    <w:qFormat/>
    <w:rsid w:val="005734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4EA"/>
    <w:rPr>
      <w:i/>
      <w:iCs/>
      <w:color w:val="0F4761" w:themeColor="accent1" w:themeShade="BF"/>
    </w:rPr>
  </w:style>
  <w:style w:type="character" w:styleId="IntenseReference">
    <w:name w:val="Intense Reference"/>
    <w:basedOn w:val="DefaultParagraphFont"/>
    <w:uiPriority w:val="32"/>
    <w:qFormat/>
    <w:rsid w:val="005734EA"/>
    <w:rPr>
      <w:b/>
      <w:bCs/>
      <w:smallCaps/>
      <w:color w:val="0F4761" w:themeColor="accent1" w:themeShade="BF"/>
      <w:spacing w:val="5"/>
    </w:rPr>
  </w:style>
  <w:style w:type="paragraph" w:customStyle="1" w:styleId="TemplateHeaderReplace">
    <w:name w:val="Template Header Replace"/>
    <w:basedOn w:val="Normal"/>
    <w:qFormat/>
    <w:rsid w:val="00FD1AAF"/>
    <w:pPr>
      <w:spacing w:after="210" w:line="264" w:lineRule="auto"/>
      <w:ind w:left="-567"/>
      <w:jc w:val="both"/>
    </w:pPr>
    <w:rPr>
      <w:rFonts w:ascii="Arial" w:eastAsia="Times New Roman" w:hAnsi="Arial" w:cstheme="minorHAnsi"/>
      <w:b/>
      <w:color w:val="156082" w:themeColor="accent1"/>
      <w:kern w:val="0"/>
      <w:sz w:val="44"/>
      <w:szCs w:val="44"/>
      <w:lang w:val="en-GB"/>
      <w14:ligatures w14:val="none"/>
    </w:rPr>
  </w:style>
  <w:style w:type="table" w:styleId="TableGrid">
    <w:name w:val="Table Grid"/>
    <w:basedOn w:val="TableNormal"/>
    <w:uiPriority w:val="59"/>
    <w:rsid w:val="00FD1AAF"/>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AAF"/>
  </w:style>
  <w:style w:type="paragraph" w:styleId="Footer">
    <w:name w:val="footer"/>
    <w:basedOn w:val="Normal"/>
    <w:link w:val="FooterChar"/>
    <w:uiPriority w:val="99"/>
    <w:unhideWhenUsed/>
    <w:rsid w:val="00FD1A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AAF"/>
  </w:style>
  <w:style w:type="paragraph" w:styleId="TOC1">
    <w:name w:val="toc 1"/>
    <w:basedOn w:val="Normal"/>
    <w:next w:val="Normal"/>
    <w:autoRedefine/>
    <w:uiPriority w:val="39"/>
    <w:unhideWhenUsed/>
    <w:rsid w:val="00FD1AAF"/>
    <w:pPr>
      <w:spacing w:after="100"/>
    </w:pPr>
  </w:style>
  <w:style w:type="paragraph" w:styleId="TOC2">
    <w:name w:val="toc 2"/>
    <w:basedOn w:val="Normal"/>
    <w:next w:val="Normal"/>
    <w:autoRedefine/>
    <w:uiPriority w:val="39"/>
    <w:unhideWhenUsed/>
    <w:rsid w:val="00FD1AAF"/>
    <w:pPr>
      <w:spacing w:after="100"/>
      <w:ind w:left="240"/>
    </w:pPr>
  </w:style>
  <w:style w:type="character" w:styleId="Hyperlink">
    <w:name w:val="Hyperlink"/>
    <w:basedOn w:val="DefaultParagraphFont"/>
    <w:uiPriority w:val="99"/>
    <w:unhideWhenUsed/>
    <w:rsid w:val="00FD1AA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7a7b0ae-d366-4174-8f86-7e626741fcd7">
      <Terms xmlns="http://schemas.microsoft.com/office/infopath/2007/PartnerControls"/>
    </lcf76f155ced4ddcb4097134ff3c332f>
    <_ip_UnifiedCompliancePolicyProperties xmlns="http://schemas.microsoft.com/sharepoint/v3" xsi:nil="true"/>
    <TaxCatchAll xmlns="a1597107-7dfc-4cce-a4d1-d062d8ec45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264D0EE9A33841ABAADDDC496255E3" ma:contentTypeVersion="23" ma:contentTypeDescription="Create a new document." ma:contentTypeScope="" ma:versionID="8d4a6095d98acb7048bd2a11d9e58455">
  <xsd:schema xmlns:xsd="http://www.w3.org/2001/XMLSchema" xmlns:xs="http://www.w3.org/2001/XMLSchema" xmlns:p="http://schemas.microsoft.com/office/2006/metadata/properties" xmlns:ns1="http://schemas.microsoft.com/sharepoint/v3" xmlns:ns2="b7a7b0ae-d366-4174-8f86-7e626741fcd7" xmlns:ns3="a1597107-7dfc-4cce-a4d1-d062d8ec457d" targetNamespace="http://schemas.microsoft.com/office/2006/metadata/properties" ma:root="true" ma:fieldsID="7b75be45a57907712cf16f37b61997ba" ns1:_="" ns2:_="" ns3:_="">
    <xsd:import namespace="http://schemas.microsoft.com/sharepoint/v3"/>
    <xsd:import namespace="b7a7b0ae-d366-4174-8f86-7e626741fcd7"/>
    <xsd:import namespace="a1597107-7dfc-4cce-a4d1-d062d8ec45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a7b0ae-d366-4174-8f86-7e626741fcd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683569e-8348-430f-853d-71034b3732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597107-7dfc-4cce-a4d1-d062d8ec45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9684ab83-0fbd-4c33-9727-ad2c0dd42aa6}" ma:internalName="TaxCatchAll" ma:showField="CatchAllData" ma:web="a1597107-7dfc-4cce-a4d1-d062d8ec4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9CB997-4DD8-45BA-B099-49CA5F2BCBC0}">
  <ds:schemaRefs>
    <ds:schemaRef ds:uri="http://schemas.microsoft.com/office/2006/metadata/properties"/>
    <ds:schemaRef ds:uri="http://schemas.microsoft.com/office/infopath/2007/PartnerControls"/>
    <ds:schemaRef ds:uri="http://schemas.microsoft.com/sharepoint/v3"/>
    <ds:schemaRef ds:uri="b7a7b0ae-d366-4174-8f86-7e626741fcd7"/>
    <ds:schemaRef ds:uri="a1597107-7dfc-4cce-a4d1-d062d8ec457d"/>
  </ds:schemaRefs>
</ds:datastoreItem>
</file>

<file path=customXml/itemProps2.xml><?xml version="1.0" encoding="utf-8"?>
<ds:datastoreItem xmlns:ds="http://schemas.openxmlformats.org/officeDocument/2006/customXml" ds:itemID="{07AA3BFD-8DA8-47AB-A3D0-79A3EE0DE0C1}">
  <ds:schemaRefs>
    <ds:schemaRef ds:uri="http://schemas.microsoft.com/sharepoint/v3/contenttype/forms"/>
  </ds:schemaRefs>
</ds:datastoreItem>
</file>

<file path=customXml/itemProps3.xml><?xml version="1.0" encoding="utf-8"?>
<ds:datastoreItem xmlns:ds="http://schemas.openxmlformats.org/officeDocument/2006/customXml" ds:itemID="{969D415D-13C5-4EA4-B0BE-C7FE0627F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a7b0ae-d366-4174-8f86-7e626741fcd7"/>
    <ds:schemaRef ds:uri="a1597107-7dfc-4cce-a4d1-d062d8ec4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Cross</dc:creator>
  <cp:keywords/>
  <dc:description/>
  <cp:lastModifiedBy>Lisa Cross</cp:lastModifiedBy>
  <cp:revision>2</cp:revision>
  <dcterms:created xsi:type="dcterms:W3CDTF">2026-03-12T16:32:00Z</dcterms:created>
  <dcterms:modified xsi:type="dcterms:W3CDTF">2026-05-08T10:32:00Z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0x010100F0264D0EE9A33841ABAADDDC496255E3</vt:lpwstr>
  </property>
</Properties>
</file>